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Ata de decisão de go-live - QDI</w:t>
      </w:r>
    </w:p>
    <w:bookmarkStart w:id="14" w:name="ata-de-decisão-preparação-go-live-qdi"/>
    <w:p>
      <w:pPr>
        <w:pStyle w:val="Heading1"/>
      </w:pPr>
      <w:r>
        <w:t xml:space="preserve">Ata de decisão — preparação go-live QDI</w:t>
      </w:r>
    </w:p>
    <w:p>
      <w:pPr>
        <w:pStyle w:val="BlockText"/>
      </w:pPr>
      <w:r>
        <w:rPr>
          <w:b/>
          <w:bCs/>
        </w:rPr>
        <w:t xml:space="preserve">Modelo</w:t>
      </w:r>
      <w:r>
        <w:t xml:space="preserve"> </w:t>
      </w:r>
      <w:r>
        <w:t xml:space="preserve">gerado a partir de</w:t>
      </w:r>
      <w:r>
        <w:t xml:space="preserve"> </w:t>
      </w:r>
      <w:r>
        <w:rPr>
          <w:rStyle w:val="VerbatimChar"/>
        </w:rPr>
        <w:t xml:space="preserve">_DEVELOPER/DECISAO_EXTERNA/DECISOES_RECOMENDADAS_GO_LIVE_2026-05-13.md</w:t>
      </w:r>
      <w:r>
        <w:t xml:space="preserve">.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rascunho — válido após</w:t>
      </w:r>
      <w:r>
        <w:t xml:space="preserve"> </w:t>
      </w:r>
      <w:r>
        <w:rPr>
          <w:b/>
          <w:bCs/>
        </w:rPr>
        <w:t xml:space="preserve">assinatura / aceite explícito do PO</w:t>
      </w:r>
      <w:r>
        <w:t xml:space="preserve"> </w:t>
      </w:r>
      <w:r>
        <w:t xml:space="preserve">(Allan) e, quando aplicável, cruzamento com DPO/jurídico.</w:t>
      </w:r>
    </w:p>
    <w:p>
      <w:pPr>
        <w:pStyle w:val="FirstParagraph"/>
      </w:pPr>
      <w:r>
        <w:rPr>
          <w:b/>
          <w:bCs/>
        </w:rPr>
        <w:t xml:space="preserve">Data da reunião ou decisão assíncrona:</w:t>
      </w:r>
      <w:r>
        <w:t xml:space="preserve"> </w:t>
      </w:r>
      <w:r>
        <w:t xml:space="preserve">______</w:t>
      </w:r>
      <w:r>
        <w:br/>
      </w:r>
      <w:r>
        <w:rPr>
          <w:b/>
          <w:bCs/>
        </w:rPr>
        <w:t xml:space="preserve">Participantes:</w:t>
      </w:r>
      <w:r>
        <w:t xml:space="preserve"> </w:t>
      </w:r>
      <w:r>
        <w:t xml:space="preserve">______</w:t>
      </w:r>
    </w:p>
    <w:p>
      <w:pPr>
        <w:pStyle w:val="BodyText"/>
      </w:pPr>
      <w:r>
        <w:rPr>
          <w:b/>
          <w:bCs/>
        </w:rPr>
        <w:t xml:space="preserve">Data-alvo de go-live em produção (PO):</w:t>
      </w:r>
      <w:r>
        <w:t xml:space="preserve"> </w:t>
      </w:r>
      <w:r>
        <w:rPr>
          <w:b/>
          <w:bCs/>
        </w:rPr>
        <w:t xml:space="preserve">2026-06-15</w:t>
      </w:r>
      <w:r>
        <w:t xml:space="preserve"> </w:t>
      </w:r>
      <w:r>
        <w:t xml:space="preserve">(15/06/2026) — mantém-se</w:t>
      </w:r>
      <w:r>
        <w:t xml:space="preserve"> </w:t>
      </w:r>
      <w:r>
        <w:rPr>
          <w:b/>
          <w:bCs/>
        </w:rPr>
        <w:t xml:space="preserve">condicionada</w:t>
      </w:r>
      <w:r>
        <w:t xml:space="preserve"> </w:t>
      </w:r>
      <w:r>
        <w:t xml:space="preserve">ao fechamento do gate §5 em</w:t>
      </w:r>
      <w:r>
        <w:t xml:space="preserve"> </w:t>
      </w:r>
      <w:r>
        <w:rPr>
          <w:rStyle w:val="VerbatimChar"/>
        </w:rPr>
        <w:t xml:space="preserve">CHECKLIST_DECISOES_GO_LIVE.md</w:t>
      </w:r>
      <w:r>
        <w:t xml:space="preserve"> </w:t>
      </w:r>
      <w:r>
        <w:t xml:space="preserve">e aos bloqueadores listados em</w:t>
      </w:r>
      <w:r>
        <w:t xml:space="preserve"> </w:t>
      </w:r>
      <w:r>
        <w:rPr>
          <w:rStyle w:val="VerbatimChar"/>
        </w:rPr>
        <w:t xml:space="preserve">DECISOES_RECOMENDADAS_GO_LIVE_2026-05-13.md</w:t>
      </w:r>
      <w:r>
        <w:t xml:space="preserve"> </w:t>
      </w:r>
      <w:r>
        <w:t xml:space="preserve">§3; não constitui promessa pública nem dispensa evidências legais/ops/QA.</w:t>
      </w:r>
    </w:p>
    <w:p>
      <w:r>
        <w:pict>
          <v:rect style="width:0;height:1.5pt" o:hralign="center" o:hrstd="t" o:hr="t"/>
        </w:pict>
      </w:r>
    </w:p>
    <w:bookmarkStart w:id="9" w:name="referências-incorporadas"/>
    <w:p>
      <w:pPr>
        <w:pStyle w:val="Heading2"/>
      </w:pPr>
      <w:r>
        <w:t xml:space="preserve">1. Referências incorporadas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_DEVELOPER/DECISAO_EXTERNA/DECISOES_RECOMENDADAS_GO_LIVE_2026-05-13.md</w:t>
            </w:r>
          </w:p>
        </w:tc>
        <w:tc>
          <w:tcPr/>
          <w:p>
            <w:pPr>
              <w:pStyle w:val="Compact"/>
            </w:pPr>
            <w:r>
              <w:t xml:space="preserve">Recomendações técnicas consolidadas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_DEVELOPER/DECISAO_EXTERNA/CHECKLIST_DECISOES_GO_LIVE.md</w:t>
            </w:r>
          </w:p>
        </w:tc>
        <w:tc>
          <w:tcPr/>
          <w:p>
            <w:pPr>
              <w:pStyle w:val="Compact"/>
            </w:pPr>
            <w:r>
              <w:t xml:space="preserve">Gate operacional §5 + evidências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.github/adr/ADR-020-go-live-jwt-localstorage-risco-residual.md</w:t>
            </w:r>
          </w:p>
        </w:tc>
        <w:tc>
          <w:tcPr/>
          <w:p>
            <w:pPr>
              <w:pStyle w:val="Compact"/>
            </w:pPr>
            <w:r>
              <w:t xml:space="preserve">Risco residual JWT (H-034)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.github/adr/ADR-019-sql-migrations-forward-only.md</w:t>
            </w:r>
          </w:p>
        </w:tc>
        <w:tc>
          <w:tcPr/>
          <w:p>
            <w:pPr>
              <w:pStyle w:val="Compact"/>
            </w:pPr>
            <w:r>
              <w:t xml:space="preserve">Migrações forward-only (H-027)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.github/adr/ADR-016-supply-chain-npm-audit-gitleaks.md</w:t>
            </w:r>
          </w:p>
        </w:tc>
        <w:tc>
          <w:tcPr/>
          <w:p>
            <w:pPr>
              <w:pStyle w:val="Compact"/>
            </w:pPr>
            <w:r>
              <w:t xml:space="preserve">npm audit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+ gitleaks (H-009/H-010)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.github/adr/ADR-018-csp-nonce-next-spike.md</w:t>
            </w:r>
          </w:p>
        </w:tc>
        <w:tc>
          <w:tcPr/>
          <w:p>
            <w:pPr>
              <w:pStyle w:val="Compact"/>
            </w:pPr>
            <w:r>
              <w:t xml:space="preserve">CSP / Report-Only (H-021)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docs/operacao/RUNBOOK_ROLLBACK_APLICACAO.md</w:t>
            </w:r>
          </w:p>
        </w:tc>
        <w:tc>
          <w:tcPr/>
          <w:p>
            <w:pPr>
              <w:pStyle w:val="Compact"/>
            </w:pPr>
            <w:r>
              <w:t xml:space="preserve">Rollback de aplicação (refino go-live)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docs/operacao/RPO_RTO.md</w:t>
            </w:r>
          </w:p>
        </w:tc>
        <w:tc>
          <w:tcPr/>
          <w:p>
            <w:pPr>
              <w:pStyle w:val="Compact"/>
            </w:pPr>
            <w:r>
              <w:t xml:space="preserve">Metas RPO/RTO/MTTR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docs/legal/SOP_DIREITOS_TITULAR_LGPD.md</w:t>
            </w:r>
          </w:p>
        </w:tc>
        <w:tc>
          <w:tcPr/>
          <w:p>
            <w:pPr>
              <w:pStyle w:val="Compact"/>
            </w:pPr>
            <w:r>
              <w:t xml:space="preserve">SOP art. 18 (rascunho — DPO)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_DEVELOPER/DECISAO_EXTERNA/CRITERIO_ACEITE_PENTEST.md</w:t>
            </w:r>
          </w:p>
        </w:tc>
        <w:tc>
          <w:tcPr/>
          <w:p>
            <w:pPr>
              <w:pStyle w:val="Compact"/>
            </w:pPr>
            <w:r>
              <w:t xml:space="preserve">Matriz CVSS H-028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docs/operacao/STATUS_PAGE.md</w:t>
            </w:r>
          </w:p>
        </w:tc>
        <w:tc>
          <w:tcPr/>
          <w:p>
            <w:pPr>
              <w:pStyle w:val="Compact"/>
            </w:pPr>
            <w:r>
              <w:t xml:space="preserve">Decisão H-L4 (status público)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técnica (2026-05-13):</w:t>
      </w:r>
      <w:r>
        <w:t xml:space="preserve"> </w:t>
      </w:r>
      <w:r>
        <w:t xml:space="preserve">frontend</w:t>
      </w:r>
      <w:r>
        <w:t xml:space="preserve"> </w:t>
      </w:r>
      <w:r>
        <w:rPr>
          <w:b/>
          <w:bCs/>
        </w:rPr>
        <w:t xml:space="preserve">Next.js 15.5.18</w:t>
      </w:r>
      <w:r>
        <w:t xml:space="preserve">;</w:t>
      </w:r>
      <w:r>
        <w:t xml:space="preserve"> </w:t>
      </w:r>
      <w:r>
        <w:rPr>
          <w:rStyle w:val="VerbatimChar"/>
        </w:rPr>
        <w:t xml:space="preserve">npm audit --omit=dev --audit-level=high</w:t>
      </w:r>
      <w:r>
        <w:t xml:space="preserve"> </w:t>
      </w:r>
      <w:r>
        <w:t xml:space="preserve">verde no repo; Sentry browser (</w:t>
      </w:r>
      <w:r>
        <w:rPr>
          <w:rStyle w:val="VerbatimChar"/>
        </w:rPr>
        <w:t xml:space="preserve">beforeSend</w:t>
      </w:r>
      <w:r>
        <w:t xml:space="preserve">) com tipos</w:t>
      </w:r>
      <w:r>
        <w:t xml:space="preserve"> </w:t>
      </w:r>
      <w:r>
        <w:rPr>
          <w:rStyle w:val="VerbatimChar"/>
        </w:rPr>
        <w:t xml:space="preserve">ErrorEvent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EventHint</w:t>
      </w:r>
      <w:r>
        <w:t xml:space="preserve">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dispensa rubrica PO nas secções §2–§5.</w:t>
      </w:r>
    </w:p>
    <w:p>
      <w:r>
        <w:pict>
          <v:rect style="width:0;height:1.5pt" o:hralign="center" o:hrstd="t" o:hr="t"/>
        </w:pict>
      </w:r>
    </w:p>
    <w:bookmarkEnd w:id="9"/>
    <w:bookmarkStart w:id="10" w:name="X6e3534eb762fac862922a78dc31dff332116cbd"/>
    <w:p>
      <w:pPr>
        <w:pStyle w:val="Heading2"/>
      </w:pPr>
      <w:r>
        <w:t xml:space="preserve">2. Decisões ratificadas pelo PO (marcar e datar)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Go-live público:</w:t>
      </w:r>
      <w:r>
        <w:t xml:space="preserve"> </w:t>
      </w:r>
      <w:r>
        <w:t xml:space="preserve">condicionado a evidências legais, operacionais e de QA ofensivo (lista no documento de recomendações §3).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H-034:</w:t>
      </w:r>
      <w:r>
        <w:t xml:space="preserve"> </w:t>
      </w:r>
      <w:r>
        <w:t xml:space="preserve">aceite risco residual JWT em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até Onda 1.1, conforme</w:t>
      </w:r>
      <w:r>
        <w:t xml:space="preserve"> </w:t>
      </w:r>
      <w:r>
        <w:rPr>
          <w:b/>
          <w:bCs/>
        </w:rPr>
        <w:t xml:space="preserve">ADR-020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mitigações compensatórias</w:t>
      </w:r>
      <w:r>
        <w:t xml:space="preserve">,</w:t>
      </w:r>
      <w:r>
        <w:t xml:space="preserve"> </w:t>
      </w:r>
      <w:r>
        <w:rPr>
          <w:b/>
          <w:bCs/>
        </w:rPr>
        <w:t xml:space="preserve">condicionado</w:t>
      </w:r>
      <w:r>
        <w:t xml:space="preserve"> </w:t>
      </w:r>
      <w:r>
        <w:t xml:space="preserve">ao pacote de evidências e QA definidos na ADR-020 (</w:t>
      </w:r>
      <w:r>
        <w:rPr>
          <w:i/>
          <w:iCs/>
        </w:rPr>
        <w:t xml:space="preserve">Condições de aceite PO</w:t>
      </w:r>
      <w:r>
        <w:t xml:space="preserve">, 2026-05-13): produção com</w:t>
      </w:r>
      <w:r>
        <w:t xml:space="preserve"> </w:t>
      </w:r>
      <w:r>
        <w:rPr>
          <w:rStyle w:val="VerbatimChar"/>
        </w:rPr>
        <w:t xml:space="preserve">JWT_EXPIRE_MINUTES ≤ 30</w:t>
      </w:r>
      <w:r>
        <w:t xml:space="preserve">;</w:t>
      </w:r>
      <w:r>
        <w:t xml:space="preserve"> </w:t>
      </w:r>
      <w:r>
        <w:rPr>
          <w:rStyle w:val="VerbatimChar"/>
        </w:rPr>
        <w:t xml:space="preserve">curl -I</w:t>
      </w:r>
      <w:r>
        <w:t xml:space="preserve"> </w:t>
      </w:r>
      <w:r>
        <w:t xml:space="preserve">no front público; 6.º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429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; expiração defensiva no cliente (</w:t>
      </w:r>
      <w:r>
        <w:rPr>
          <w:rStyle w:val="VerbatimChar"/>
        </w:rPr>
        <w:t xml:space="preserve">admin_token_expires_at</w:t>
      </w:r>
      <w:r>
        <w:t xml:space="preserve">); ata com</w:t>
      </w:r>
      <w:r>
        <w:t xml:space="preserve"> </w:t>
      </w:r>
      <w:r>
        <w:rPr>
          <w:i/>
          <w:iCs/>
        </w:rPr>
        <w:t xml:space="preserve">«risco residual aceite até Onda 1.1, conforme ADR-020»</w:t>
      </w:r>
      <w:r>
        <w:t xml:space="preserve">; pentest/ZAP sem XSS explorável nem P1 aberto ligado a token.</w:t>
      </w:r>
      <w:r>
        <w:t xml:space="preserve"> </w:t>
      </w:r>
      <w:r>
        <w:rPr>
          <w:b/>
          <w:bCs/>
        </w:rPr>
        <w:t xml:space="preserve">Cookie HttpOnly antes de produção</w:t>
      </w:r>
      <w:r>
        <w:t xml:space="preserve"> </w:t>
      </w:r>
      <w:r>
        <w:t xml:space="preserve">só se falhar evidência, existir P1 XSS aberto ou copy comercial prometer sessão forte (detalhe na ADR-020).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H-009:</w:t>
      </w:r>
      <w:r>
        <w:t xml:space="preserve"> </w:t>
      </w:r>
      <w:r>
        <w:t xml:space="preserve">CI bloqueia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audit --audit-level=high</w:t>
      </w:r>
      <w:r>
        <w:t xml:space="preserve">); residual só com substituição,</w:t>
      </w:r>
      <w:r>
        <w:t xml:space="preserve"> </w:t>
      </w:r>
      <w:r>
        <w:rPr>
          <w:rStyle w:val="VerbatimChar"/>
        </w:rPr>
        <w:t xml:space="preserve">overrides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ADR de exceção</w:t>
      </w:r>
      <w:r>
        <w:t xml:space="preserve"> </w:t>
      </w:r>
      <w:r>
        <w:t xml:space="preserve">formal, conforme</w:t>
      </w:r>
      <w:r>
        <w:t xml:space="preserve"> </w:t>
      </w:r>
      <w:r>
        <w:rPr>
          <w:b/>
          <w:bCs/>
        </w:rPr>
        <w:t xml:space="preserve">ADR-016</w:t>
      </w:r>
      <w:r>
        <w:t xml:space="preserve">.</w:t>
      </w:r>
      <w:r>
        <w:t xml:space="preserve"> </w:t>
      </w:r>
      <w:r>
        <w:rPr>
          <w:b/>
          <w:bCs/>
        </w:rPr>
        <w:t xml:space="preserve">Baseline técnica 2026-05-13:</w:t>
      </w:r>
      <w:r>
        <w:t xml:space="preserve"> </w:t>
      </w:r>
      <w:r>
        <w:t xml:space="preserve">audit HIGH verde no repo (Next</w:t>
      </w:r>
      <w:r>
        <w:t xml:space="preserve"> </w:t>
      </w:r>
      <w:r>
        <w:rPr>
          <w:b/>
          <w:bCs/>
        </w:rPr>
        <w:t xml:space="preserve">15.5.18</w:t>
      </w:r>
      <w:r>
        <w:t xml:space="preserve">); moderates —</w:t>
      </w:r>
      <w:r>
        <w:t xml:space="preserve"> </w:t>
      </w:r>
      <w:r>
        <w:rPr>
          <w:rStyle w:val="VerbatimChar"/>
        </w:rPr>
        <w:t xml:space="preserve">PENDENCIA_UPGRADE_NEXT14.md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H-021:</w:t>
      </w:r>
      <w:r>
        <w:t xml:space="preserve"> </w:t>
      </w:r>
      <w:r>
        <w:t xml:space="preserve">MVP com CSP</w:t>
      </w:r>
      <w:r>
        <w:t xml:space="preserve"> </w:t>
      </w:r>
      <w:r>
        <w:rPr>
          <w:b/>
          <w:bCs/>
        </w:rPr>
        <w:t xml:space="preserve">Report-Only</w:t>
      </w:r>
      <w:r>
        <w:t xml:space="preserve"> </w:t>
      </w:r>
      <w:r>
        <w:t xml:space="preserve">onde aplicável; nonce forte em Onda 1.1 (ADR-018).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H-038 / H-039:</w:t>
      </w:r>
      <w:r>
        <w:t xml:space="preserve"> </w:t>
      </w:r>
      <w:r>
        <w:t xml:space="preserve">refactors para</w:t>
      </w:r>
      <w:r>
        <w:t xml:space="preserve"> </w:t>
      </w:r>
      <w:r>
        <w:rPr>
          <w:b/>
          <w:bCs/>
        </w:rPr>
        <w:t xml:space="preserve">Onda 1.1</w:t>
      </w:r>
      <w:r>
        <w:t xml:space="preserve">, sem bloquear preparação de go-live se smoke/E2E principal estiver verde.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H-027:</w:t>
      </w:r>
      <w:r>
        <w:t xml:space="preserve"> </w:t>
      </w:r>
      <w:r>
        <w:t xml:space="preserve">regra</w:t>
      </w:r>
      <w:r>
        <w:t xml:space="preserve"> </w:t>
      </w:r>
      <w:r>
        <w:rPr>
          <w:b/>
          <w:bCs/>
        </w:rPr>
        <w:t xml:space="preserve">forward-only</w:t>
      </w:r>
      <w:r>
        <w:t xml:space="preserve"> </w:t>
      </w:r>
      <w:r>
        <w:t xml:space="preserve">em produção, conforme</w:t>
      </w:r>
      <w:r>
        <w:t xml:space="preserve"> </w:t>
      </w:r>
      <w:r>
        <w:rPr>
          <w:b/>
          <w:bCs/>
        </w:rPr>
        <w:t xml:space="preserve">ADR-019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H-L4 — Status page:</w:t>
      </w:r>
      <w:r>
        <w:t xml:space="preserve"> </w:t>
      </w:r>
      <w:r>
        <w:t xml:space="preserve">MVP em</w:t>
      </w:r>
      <w:r>
        <w:t xml:space="preserve"> </w:t>
      </w:r>
      <w:r>
        <w:rPr>
          <w:b/>
          <w:bCs/>
        </w:rPr>
        <w:t xml:space="preserve">HostDime Cloud</w:t>
      </w:r>
      <w:r>
        <w:t xml:space="preserve">, com domínios públicos</w:t>
      </w:r>
      <w:r>
        <w:t xml:space="preserve"> </w:t>
      </w:r>
      <w:r>
        <w:rPr>
          <w:rStyle w:val="VerbatimChar"/>
        </w:rPr>
        <w:t xml:space="preserve">https://qualidiagiq.com.br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https://tributiq.com.br</w:t>
      </w:r>
      <w:r>
        <w:t xml:space="preserve">, conforme</w:t>
      </w:r>
      <w:r>
        <w:t xml:space="preserve"> </w:t>
      </w:r>
      <w:r>
        <w:rPr>
          <w:rStyle w:val="VerbatimChar"/>
        </w:rPr>
        <w:t xml:space="preserve">docs/operacao/STATUS_PAGE.md</w:t>
      </w:r>
      <w:r>
        <w:t xml:space="preserve">; publicação/DNS ainda exigem evidência operacional antes de tráfego público.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H-023 — SLO / escalação:</w:t>
      </w:r>
      <w:r>
        <w:t xml:space="preserve"> </w:t>
      </w:r>
      <w:r>
        <w:t xml:space="preserve">baseline MVP ratificado em 2026-05-13 conforme</w:t>
      </w:r>
      <w:r>
        <w:t xml:space="preserve"> </w:t>
      </w:r>
      <w:r>
        <w:rPr>
          <w:rStyle w:val="VerbatimChar"/>
        </w:rPr>
        <w:t xml:space="preserve">_DEVELOPER/DECISAO_EXTERNA/SLO_OPERACAO_QDI.md</w:t>
      </w:r>
      <w:r>
        <w:t xml:space="preserve">; substitutos permanecem</w:t>
      </w:r>
      <w:r>
        <w:t xml:space="preserve"> </w:t>
      </w:r>
      <w:r>
        <w:rPr>
          <w:rStyle w:val="VerbatimChar"/>
        </w:rPr>
        <w:t xml:space="preserve">PENDENTE_ALLAN</w:t>
      </w:r>
      <w:r>
        <w:t xml:space="preserve"> </w:t>
      </w:r>
      <w:r>
        <w:t xml:space="preserve">até nomeação formal; H-024 (dashboard ≥ 7 dias) continua bloqueador operacional antes de tráfego público.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H-L6 — Telemetria / analytics:</w:t>
      </w:r>
      <w:r>
        <w:t xml:space="preserve"> </w:t>
      </w:r>
      <w:r>
        <w:t xml:space="preserve">auditoria de código</w:t>
      </w:r>
      <w:r>
        <w:t xml:space="preserve"> </w:t>
      </w:r>
      <w:r>
        <w:rPr>
          <w:b/>
          <w:bCs/>
        </w:rPr>
        <w:t xml:space="preserve">2026-05-13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t xml:space="preserve">PostHog / Google Analytics / gtag / Mixpanel / Amplitude no código-fonte da app (</w:t>
      </w:r>
      <w:r>
        <w:rPr>
          <w:rStyle w:val="VerbatimChar"/>
        </w:rPr>
        <w:t xml:space="preserve">frontend/</w:t>
      </w:r>
      <w:r>
        <w:t xml:space="preserve"> </w:t>
      </w:r>
      <w:r>
        <w:rPr>
          <w:rStyle w:val="VerbatimChar"/>
        </w:rPr>
        <w:t xml:space="preserve">*.{ts,tsx}</w:t>
      </w:r>
      <w:r>
        <w:t xml:space="preserve">); MVP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t xml:space="preserve">analytics de produto; rever na Onda 1.1 com banner LGPD se necessário.</w:t>
      </w:r>
    </w:p>
    <w:p>
      <w:r>
        <w:pict>
          <v:rect style="width:0;height:1.5pt" o:hralign="center" o:hrstd="t" o:hr="t"/>
        </w:pict>
      </w:r>
    </w:p>
    <w:bookmarkEnd w:id="10"/>
    <w:bookmarkStart w:id="11" w:name="Xea7f536e547bb5d94758fa4707d49882c86d986"/>
    <w:p>
      <w:pPr>
        <w:pStyle w:val="Heading2"/>
      </w:pPr>
      <w:r>
        <w:t xml:space="preserve">3. Riscos residuais aceites (para anexar ao pacote de auditoria)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6"/>
        <w:gridCol w:w="2741"/>
        <w:gridCol w:w="4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ADR / referência</w:t>
            </w:r>
          </w:p>
        </w:tc>
        <w:tc>
          <w:tcPr/>
          <w:p>
            <w:pPr>
              <w:pStyle w:val="Compact"/>
            </w:pPr>
            <w:r>
              <w:t xml:space="preserve">Aceite PO (iniciais/data)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em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ADR-020 (mitigações compensatórias MVP)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 HIGH residual (sem bump imediato)</w:t>
            </w:r>
          </w:p>
        </w:tc>
        <w:tc>
          <w:tcPr/>
          <w:p>
            <w:pPr>
              <w:pStyle w:val="Compact"/>
            </w:pPr>
            <w:r>
              <w:t xml:space="preserve">ADR-016 +</w:t>
            </w:r>
            <w:r>
              <w:t xml:space="preserve"> </w:t>
            </w:r>
            <w:r>
              <w:rPr>
                <w:b/>
                <w:bCs/>
              </w:rPr>
              <w:t xml:space="preserve">ADR de exceção</w:t>
            </w:r>
            <w:r>
              <w:t xml:space="preserve"> </w:t>
            </w:r>
            <w:r>
              <w:t xml:space="preserve">+ issue / prazo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CSP Report-Only</w:t>
            </w:r>
          </w:p>
        </w:tc>
        <w:tc>
          <w:tcPr/>
          <w:p>
            <w:pPr>
              <w:pStyle w:val="Compact"/>
            </w:pPr>
            <w:r>
              <w:t xml:space="preserve">ADR-018 +</w:t>
            </w:r>
            <w:r>
              <w:t xml:space="preserve"> </w:t>
            </w:r>
            <w:r>
              <w:rPr>
                <w:rStyle w:val="VerbatimChar"/>
              </w:rPr>
              <w:t xml:space="preserve">QDI_CSP_REPORT_ONLY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Recuperação de senha depende de operador único (script)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POLITICA_AUTENTICACAO.md</w:t>
            </w:r>
            <w:r>
              <w:t xml:space="preserve"> </w:t>
            </w:r>
            <w:r>
              <w:t xml:space="preserve">opção B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61ef2f635115bc4c2b3686ad7dbbf71fc54ddd5"/>
    <w:p>
      <w:pPr>
        <w:pStyle w:val="Heading2"/>
      </w:pPr>
      <w:r>
        <w:t xml:space="preserve">4. Anexos obrigatórios antes de tráfego público (jurídico / ops)</w:t>
      </w:r>
    </w:p>
    <w:p>
      <w:pPr>
        <w:pStyle w:val="FirstParagraph"/>
      </w:pPr>
      <w:r>
        <w:t xml:space="preserve">Preencher quando existirem ficheiros reais (não substituir por placeholders em produção):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docs/legal/BASES_LEGAIS_TRATAMENTO.md</w:t>
      </w:r>
      <w:r>
        <w:t xml:space="preserve"> </w:t>
      </w:r>
      <w:r>
        <w:t xml:space="preserve">(H-011)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docs/legal/RAT.md</w:t>
      </w:r>
      <w:r>
        <w:t xml:space="preserve"> </w:t>
      </w:r>
      <w:r>
        <w:t xml:space="preserve">(H-012)</w:t>
      </w:r>
    </w:p>
    <w:p>
      <w:pPr>
        <w:pStyle w:val="Compact"/>
        <w:numPr>
          <w:ilvl w:val="0"/>
          <w:numId w:val="1012"/>
        </w:numPr>
      </w:pPr>
      <w:r>
        <w:t xml:space="preserve">RIPD assinado (H-030)</w:t>
      </w:r>
    </w:p>
    <w:p>
      <w:pPr>
        <w:pStyle w:val="Compact"/>
        <w:numPr>
          <w:ilvl w:val="0"/>
          <w:numId w:val="1013"/>
        </w:numPr>
      </w:pPr>
      <w:r>
        <w:t xml:space="preserve">Designação DPO (H-031)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_DEVELOPER/DECISAO_EXTERNA/EVIDENCIA_GO_LIVE_STAGING_2026-05-13.md</w:t>
      </w:r>
      <w:r>
        <w:t xml:space="preserve"> </w:t>
      </w:r>
      <w:r>
        <w:t xml:space="preserve">(H-033)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_DEVELOPER/DECISAO_EXTERNA/EVIDENCIA_ZAP_STAGING_2026-05-13.md</w:t>
      </w:r>
      <w:r>
        <w:t xml:space="preserve"> </w:t>
      </w:r>
      <w:r>
        <w:t xml:space="preserve">(H-029)</w:t>
      </w:r>
    </w:p>
    <w:p>
      <w:pPr>
        <w:pStyle w:val="Compact"/>
        <w:numPr>
          <w:ilvl w:val="0"/>
          <w:numId w:val="1016"/>
        </w:numPr>
      </w:pPr>
      <w:r>
        <w:t xml:space="preserve">Evidência H-024 (dashboard ≥ 7 dias)</w:t>
      </w:r>
    </w:p>
    <w:p>
      <w:pPr>
        <w:pStyle w:val="Compact"/>
        <w:numPr>
          <w:ilvl w:val="0"/>
          <w:numId w:val="1017"/>
        </w:numPr>
      </w:pPr>
      <w:r>
        <w:t xml:space="preserve">Evidência H-028 (pentest + P1s) com</w:t>
      </w:r>
      <w:r>
        <w:t xml:space="preserve"> </w:t>
      </w:r>
      <w:r>
        <w:rPr>
          <w:rStyle w:val="VerbatimChar"/>
        </w:rPr>
        <w:t xml:space="preserve">_DEVELOPER/DECISAO_EXTERNA/CRITERIO_ACEITE_PENTEST.md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_DEVELOPER/DECISAO_EXTERNA/SLO_OPERACAO_QDI.md</w:t>
      </w:r>
      <w:r>
        <w:t xml:space="preserve"> </w:t>
      </w:r>
      <w:r>
        <w:t xml:space="preserve">(H-023) preenchido e ratificado em 2026-05-13; substitutos</w:t>
      </w:r>
      <w:r>
        <w:t xml:space="preserve"> </w:t>
      </w:r>
      <w:r>
        <w:rPr>
          <w:rStyle w:val="VerbatimChar"/>
        </w:rPr>
        <w:t xml:space="preserve">PENDENTE_ALLAN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_DEVELOPER/DECISAO_EXTERNA/RETENCAO_LOGS_REDACTION.md</w:t>
      </w:r>
      <w:r>
        <w:t xml:space="preserve"> </w:t>
      </w:r>
      <w:r>
        <w:t xml:space="preserve">(H-015) com retenções numéricas aprovadas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_DEVELOPER/DECISAO_EXTERNA/PENDENCIA_UPGRADE_NEXT14.md</w:t>
      </w:r>
      <w:r>
        <w:t xml:space="preserve"> </w:t>
      </w:r>
      <w:r>
        <w:t xml:space="preserve">(H-009) com link de issue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docs/operacao/RUNBOOK_ROLLBACK_APLICACAO.md</w:t>
      </w:r>
      <w:r>
        <w:t xml:space="preserve"> </w:t>
      </w:r>
      <w:r>
        <w:t xml:space="preserve">(operacional)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docs/operacao/RPO_RTO.md</w:t>
      </w:r>
      <w:r>
        <w:t xml:space="preserve"> </w:t>
      </w:r>
      <w:r>
        <w:t xml:space="preserve">(continuidade) — ratificado por Allan Marcio em 2026-05-13; substituto operacional</w:t>
      </w:r>
      <w:r>
        <w:t xml:space="preserve"> </w:t>
      </w:r>
      <w:r>
        <w:rPr>
          <w:rStyle w:val="VerbatimChar"/>
        </w:rPr>
        <w:t xml:space="preserve">PENDENTE_ALLAN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docs/legal/SOP_DIREITOS_TITULAR_LGPD.md</w:t>
      </w:r>
      <w:r>
        <w:t xml:space="preserve"> </w:t>
      </w:r>
      <w:r>
        <w:t xml:space="preserve">(rascunho revisado com DPO)</w:t>
      </w:r>
    </w:p>
    <w:p>
      <w:r>
        <w:pict>
          <v:rect style="width:0;height:1.5pt" o:hralign="center" o:hrstd="t" o:hr="t"/>
        </w:pict>
      </w:r>
    </w:p>
    <w:bookmarkEnd w:id="12"/>
    <w:bookmarkStart w:id="13" w:name="metas-de-continuidade-rpo-rto"/>
    <w:p>
      <w:pPr>
        <w:pStyle w:val="Heading2"/>
      </w:pPr>
      <w:r>
        <w:t xml:space="preserve">5. Metas de continuidade (RPO / RTO)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 MVP</w:t>
            </w:r>
          </w:p>
        </w:tc>
        <w:tc>
          <w:tcPr/>
          <w:p>
            <w:pPr>
              <w:pStyle w:val="Compact"/>
            </w:pP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≤ 24 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docs/operacao/RPO_RTO.md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≤ 4 h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 P1</w:t>
            </w:r>
          </w:p>
        </w:tc>
        <w:tc>
          <w:tcPr/>
          <w:p>
            <w:pPr>
              <w:pStyle w:val="Compact"/>
            </w:pPr>
            <w:r>
              <w:t xml:space="preserve">≤ 2 h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</w:tbl>
    <w:p>
      <w:pPr>
        <w:pStyle w:val="BodyText"/>
      </w:pPr>
      <w:r>
        <w:rPr>
          <w:b/>
          <w:bCs/>
        </w:rPr>
        <w:t xml:space="preserve">Aceite PO:</w:t>
      </w:r>
      <w:r>
        <w:t xml:space="preserve"> </w:t>
      </w:r>
      <w:r>
        <w:t xml:space="preserve">Allan Marcio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2026-05-13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Assinaturas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 (se aplicável)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3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3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3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decisão de go-live - QDI</dc:title>
  <dc:creator/>
  <cp:keywords/>
  <dcterms:created xsi:type="dcterms:W3CDTF">2026-05-13T20:12:22Z</dcterms:created>
  <dcterms:modified xsi:type="dcterms:W3CDTF">2026-05-13T20:12:22Z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