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 page - decisão MVP - QDI</w:t>
      </w:r>
    </w:p>
    <w:bookmarkStart w:id="13" w:name="status-page-qdi-decisão-mvp"/>
    <w:p>
      <w:pPr>
        <w:pStyle w:val="Heading1"/>
      </w:pPr>
      <w:r>
        <w:t xml:space="preserve">Status page — QDI (decisão MVP)</w:t>
      </w:r>
    </w:p>
    <w:p>
      <w:pPr>
        <w:pStyle w:val="BlockText"/>
      </w:pPr>
      <w:r>
        <w:t xml:space="preserve">Documenta a decisão</w:t>
      </w:r>
      <w:r>
        <w:t xml:space="preserve"> </w:t>
      </w:r>
      <w:r>
        <w:rPr>
          <w:b/>
          <w:bCs/>
        </w:rPr>
        <w:t xml:space="preserve">H-L4</w:t>
      </w:r>
      <w:r>
        <w:t xml:space="preserve"> </w:t>
      </w:r>
      <w:r>
        <w:t xml:space="preserve">(handoff refinamento go-live 2026-05-13).</w:t>
      </w:r>
    </w:p>
    <w:bookmarkStart w:id="9" w:name="decisão-po"/>
    <w:p>
      <w:pPr>
        <w:pStyle w:val="Heading2"/>
      </w:pPr>
      <w:r>
        <w:t xml:space="preserve">Decisão 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Provedor escolhido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HostDime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Domínios públicos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https://qualidiagiq.com.br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https://tributiq.com.br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decisão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Decisor</w:t>
            </w:r>
          </w:p>
        </w:tc>
        <w:tc>
          <w:tcPr/>
          <w:p>
            <w:pPr>
              <w:pStyle w:val="Compact"/>
            </w:pPr>
            <w:r>
              <w:t xml:space="preserve">Allan Marcio</w:t>
            </w:r>
          </w:p>
        </w:tc>
      </w:tr>
    </w:tbl>
    <w:bookmarkEnd w:id="9"/>
    <w:bookmarkStart w:id="10" w:name="mvp-proposto"/>
    <w:p>
      <w:pPr>
        <w:pStyle w:val="Heading2"/>
      </w:pPr>
      <w:r>
        <w:t xml:space="preserve">MVP (proposto)</w:t>
      </w:r>
    </w:p>
    <w:p>
      <w:pPr>
        <w:pStyle w:val="Compact"/>
        <w:numPr>
          <w:ilvl w:val="0"/>
          <w:numId w:val="1001"/>
        </w:numPr>
      </w:pPr>
      <w:r>
        <w:t xml:space="preserve">URL alvo:</w:t>
      </w:r>
      <w:r>
        <w:t xml:space="preserve"> </w:t>
      </w:r>
      <w:r>
        <w:rPr>
          <w:rStyle w:val="VerbatimChar"/>
        </w:rPr>
        <w:t xml:space="preserve">https://qualidiagiq.com.br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https://tributiq.com.br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Atualização manual</w:t>
      </w:r>
      <w:r>
        <w:t xml:space="preserve"> </w:t>
      </w:r>
      <w:r>
        <w:t xml:space="preserve">durante o MVP quando burn rate SLO exigir comunicação visível.</w:t>
      </w:r>
    </w:p>
    <w:p>
      <w:pPr>
        <w:pStyle w:val="Compact"/>
        <w:numPr>
          <w:ilvl w:val="0"/>
          <w:numId w:val="1001"/>
        </w:numPr>
      </w:pPr>
      <w:r>
        <w:t xml:space="preserve">Automação</w:t>
      </w:r>
      <w:r>
        <w:t xml:space="preserve"> </w:t>
      </w:r>
      <w:r>
        <w:rPr>
          <w:b/>
          <w:bCs/>
        </w:rPr>
        <w:t xml:space="preserve">Sentry → status page</w:t>
      </w:r>
      <w:r>
        <w:t xml:space="preserve"> </w:t>
      </w:r>
      <w:r>
        <w:t xml:space="preserve">(webhook):</w:t>
      </w:r>
      <w:r>
        <w:t xml:space="preserve"> </w:t>
      </w:r>
      <w:r>
        <w:rPr>
          <w:b/>
          <w:bCs/>
        </w:rPr>
        <w:t xml:space="preserve">Onda 1.1</w:t>
      </w:r>
      <w:r>
        <w:t xml:space="preserve">.</w:t>
      </w:r>
    </w:p>
    <w:bookmarkEnd w:id="10"/>
    <w:bookmarkStart w:id="11" w:name="pendência-operacional"/>
    <w:p>
      <w:pPr>
        <w:pStyle w:val="Heading2"/>
      </w:pPr>
      <w:r>
        <w:t xml:space="preserve">Pendência operacional</w:t>
      </w:r>
    </w:p>
    <w:p>
      <w:pPr>
        <w:pStyle w:val="Compact"/>
        <w:numPr>
          <w:ilvl w:val="0"/>
          <w:numId w:val="1002"/>
        </w:numPr>
      </w:pPr>
      <w:r>
        <w:t xml:space="preserve">Definir se a página de status ficará em rota dedicada (</w:t>
      </w:r>
      <w:r>
        <w:rPr>
          <w:rStyle w:val="VerbatimChar"/>
        </w:rPr>
        <w:t xml:space="preserve">/status</w:t>
      </w:r>
      <w:r>
        <w:t xml:space="preserve">) ou subdomínio (</w:t>
      </w:r>
      <w:r>
        <w:rPr>
          <w:rStyle w:val="VerbatimChar"/>
        </w:rPr>
        <w:t xml:space="preserve">status.qualidiagiq.com.br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status.tributiq.com.br</w:t>
      </w:r>
      <w:r>
        <w:t xml:space="preserve">) após configuração DNS/roteamento no HostDime Cloud.</w:t>
      </w:r>
    </w:p>
    <w:p>
      <w:pPr>
        <w:pStyle w:val="Compact"/>
        <w:numPr>
          <w:ilvl w:val="0"/>
          <w:numId w:val="1002"/>
        </w:numPr>
      </w:pPr>
      <w:r>
        <w:t xml:space="preserve">Anexar evidência de publicação antes de marcar H-L4 como totalmente concluído no checklist de go-live.</w:t>
      </w:r>
    </w:p>
    <w:bookmarkEnd w:id="11"/>
    <w:bookmarkStart w:id="12" w:name="aceite-po"/>
    <w:p>
      <w:pPr>
        <w:pStyle w:val="Heading2"/>
      </w:pPr>
      <w:r>
        <w:t xml:space="preserve">Aceite 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Provedor escolhido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HostDime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https://qualidiagiq.com.br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https://tributiq.com.br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ativação</w:t>
            </w:r>
          </w:p>
        </w:tc>
        <w:tc>
          <w:tcPr/>
          <w:p>
            <w:pPr>
              <w:pStyle w:val="Compact"/>
            </w:pPr>
            <w:r>
              <w:t xml:space="preserve">PENDENTE_DNS_PUBLICACAO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 PO</w:t>
            </w:r>
          </w:p>
        </w:tc>
        <w:tc>
          <w:tcPr/>
          <w:p>
            <w:pPr>
              <w:pStyle w:val="Compact"/>
            </w:pPr>
            <w:r>
              <w:t xml:space="preserve">Allan Marcio — decisão informada em 2026-05-13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page - decisão MVP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