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ADR-020 - JWT localStorage e risco residual - QDI</w:t>
      </w:r>
    </w:p>
    <w:bookmarkStart w:id="15" w:name="X3dd2a7f676dbd9dcf229c3ebf9313f24687b57a"/>
    <w:p>
      <w:pPr>
        <w:pStyle w:val="Heading1"/>
      </w:pPr>
      <w:r>
        <w:t xml:space="preserve">ADR-020 — Go-live: risco residual JWT em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(complemento ADR-004)</w:t>
      </w:r>
    </w:p>
    <w:p>
      <w:pPr>
        <w:pStyle w:val="FirstParagraph"/>
      </w:pPr>
      <w:r>
        <w:t xml:space="preserve">Data: 2026-05-11</w:t>
      </w:r>
      <w:r>
        <w:br/>
      </w:r>
      <w:r>
        <w:rPr>
          <w:b/>
          <w:bCs/>
        </w:rPr>
        <w:t xml:space="preserve">Atualização PO (recomendação objetiva):</w:t>
      </w:r>
      <w:r>
        <w:t xml:space="preserve"> </w:t>
      </w:r>
      <w:r>
        <w:t xml:space="preserve">2026-05-13 — ver secção</w:t>
      </w:r>
      <w:r>
        <w:t xml:space="preserve"> </w:t>
      </w:r>
      <w:r>
        <w:rPr>
          <w:i/>
          <w:iCs/>
        </w:rPr>
        <w:t xml:space="preserve">Condições de aceite PO</w:t>
      </w:r>
      <w:r>
        <w:t xml:space="preserve"> </w:t>
      </w:r>
      <w:r>
        <w:t xml:space="preserve">abaixo.</w:t>
      </w:r>
      <w:r>
        <w:br/>
      </w:r>
      <w:r>
        <w:t xml:space="preserve">Estado:</w:t>
      </w:r>
      <w:r>
        <w:t xml:space="preserve"> </w:t>
      </w:r>
      <w:r>
        <w:rPr>
          <w:b/>
          <w:bCs/>
        </w:rPr>
        <w:t xml:space="preserve">aceite para MVP</w:t>
      </w:r>
      <w:r>
        <w:t xml:space="preserve"> </w:t>
      </w:r>
      <w:r>
        <w:t xml:space="preserve">(QDI-H-034 — fase curta)</w:t>
      </w:r>
    </w:p>
    <w:bookmarkStart w:id="9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O MVP do painel armazena JWT em</w:t>
      </w:r>
      <w:r>
        <w:t xml:space="preserve"> </w:t>
      </w:r>
      <w:r>
        <w:rPr>
          <w:rStyle w:val="VerbatimChar"/>
          <w:b/>
          <w:bCs/>
        </w:rPr>
        <w:t xml:space="preserve">localStorage</w:t>
      </w:r>
      <w:r>
        <w:t xml:space="preserve">, o que expõe o token a scripts maliciosos (classe XSS). A mitigação completa é cookie</w:t>
      </w:r>
      <w:r>
        <w:t xml:space="preserve"> </w:t>
      </w:r>
      <w:r>
        <w:rPr>
          <w:b/>
          <w:bCs/>
        </w:rPr>
        <w:t xml:space="preserve">HttpOnly</w:t>
      </w:r>
      <w:r>
        <w:t xml:space="preserve"> </w:t>
      </w:r>
      <w:r>
        <w:t xml:space="preserve">+ BFF (</w:t>
      </w:r>
      <w:r>
        <w:rPr>
          <w:b/>
          <w:bCs/>
        </w:rPr>
        <w:t xml:space="preserve">ADR-004</w:t>
      </w:r>
      <w:r>
        <w:t xml:space="preserve">).</w:t>
      </w:r>
    </w:p>
    <w:bookmarkEnd w:id="9"/>
    <w:bookmarkStart w:id="10" w:name="decisão-de-go-live-beta"/>
    <w:p>
      <w:pPr>
        <w:pStyle w:val="Heading2"/>
      </w:pPr>
      <w:r>
        <w:t xml:space="preserve">Decisão de go-live (Beta)</w:t>
      </w:r>
    </w:p>
    <w:p>
      <w:pPr>
        <w:pStyle w:val="Compact"/>
        <w:numPr>
          <w:ilvl w:val="0"/>
          <w:numId w:val="1001"/>
        </w:numPr>
      </w:pPr>
      <w:r>
        <w:t xml:space="preserve">Aceitar risco</w:t>
      </w:r>
      <w:r>
        <w:t xml:space="preserve"> </w:t>
      </w:r>
      <w:r>
        <w:rPr>
          <w:b/>
          <w:bCs/>
        </w:rPr>
        <w:t xml:space="preserve">residual documentado</w:t>
      </w:r>
      <w:r>
        <w:t xml:space="preserve"> </w:t>
      </w:r>
      <w:r>
        <w:t xml:space="preserve">até Onda</w:t>
      </w:r>
      <w:r>
        <w:t xml:space="preserve"> </w:t>
      </w:r>
      <w:r>
        <w:rPr>
          <w:b/>
          <w:bCs/>
        </w:rPr>
        <w:t xml:space="preserve">1.1</w:t>
      </w:r>
      <w:r>
        <w:t xml:space="preserve">, desde que: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npm audit</w:t>
      </w:r>
      <w:r>
        <w:t xml:space="preserve"> </w:t>
      </w:r>
      <w:r>
        <w:t xml:space="preserve">/ gitleaks no CI (</w:t>
      </w:r>
      <w:r>
        <w:rPr>
          <w:b/>
          <w:bCs/>
        </w:rPr>
        <w:t xml:space="preserve">ADR-016</w:t>
      </w:r>
      <w:r>
        <w:t xml:space="preserve">);</w:t>
      </w:r>
    </w:p>
    <w:p>
      <w:pPr>
        <w:pStyle w:val="Compact"/>
        <w:numPr>
          <w:ilvl w:val="1"/>
          <w:numId w:val="1002"/>
        </w:numPr>
      </w:pPr>
      <w:r>
        <w:t xml:space="preserve">erros do proxy Next não vazem stack (</w:t>
      </w:r>
      <w:r>
        <w:rPr>
          <w:b/>
          <w:bCs/>
        </w:rPr>
        <w:t xml:space="preserve">QDI-H-036</w:t>
      </w:r>
      <w:r>
        <w:t xml:space="preserve">);</w:t>
      </w:r>
    </w:p>
    <w:p>
      <w:pPr>
        <w:pStyle w:val="Compact"/>
        <w:numPr>
          <w:ilvl w:val="1"/>
          <w:numId w:val="1002"/>
        </w:numPr>
      </w:pPr>
      <w:r>
        <w:t xml:space="preserve">Sentry com scrub (</w:t>
      </w:r>
      <w:r>
        <w:rPr>
          <w:b/>
          <w:bCs/>
        </w:rPr>
        <w:t xml:space="preserve">QDI-H-016</w:t>
      </w:r>
      <w:r>
        <w:t xml:space="preserve">);</w:t>
      </w:r>
    </w:p>
    <w:p>
      <w:pPr>
        <w:pStyle w:val="Compact"/>
        <w:numPr>
          <w:ilvl w:val="1"/>
          <w:numId w:val="1002"/>
        </w:numPr>
      </w:pPr>
      <w:r>
        <w:t xml:space="preserve">pentest (</w:t>
      </w:r>
      <w:r>
        <w:rPr>
          <w:b/>
          <w:bCs/>
        </w:rPr>
        <w:t xml:space="preserve">QDI-H-028</w:t>
      </w:r>
      <w:r>
        <w:t xml:space="preserve">) sem P1 aberto sem compensação.</w:t>
      </w:r>
    </w:p>
    <w:p>
      <w:pPr>
        <w:pStyle w:val="Compact"/>
        <w:numPr>
          <w:ilvl w:val="0"/>
          <w:numId w:val="1001"/>
        </w:numPr>
      </w:pPr>
      <w:r>
        <w:t xml:space="preserve">Copy de produto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prometer «sessão inviolável» enquanto ADR-004 não estiver implementado.</w:t>
      </w:r>
    </w:p>
    <w:bookmarkEnd w:id="10"/>
    <w:bookmarkStart w:id="11" w:name="Xd221540e96b7121d23b5d31b7524b27d8f7c94d"/>
    <w:p>
      <w:pPr>
        <w:pStyle w:val="Heading2"/>
      </w:pPr>
      <w:r>
        <w:t xml:space="preserve">Mitigações compensatórias obrigatórias MVP (refino 2026-05-13)</w:t>
      </w:r>
    </w:p>
    <w:p>
      <w:pPr>
        <w:pStyle w:val="FirstParagraph"/>
      </w:pPr>
      <w:r>
        <w:t xml:space="preserve">Além dos itens da decisão acima, em</w:t>
      </w:r>
      <w:r>
        <w:t xml:space="preserve"> </w:t>
      </w:r>
      <w:r>
        <w:rPr>
          <w:b/>
          <w:bCs/>
        </w:rPr>
        <w:t xml:space="preserve">APP_ENV=production</w:t>
      </w:r>
      <w:r>
        <w:t xml:space="preserve"> </w:t>
      </w:r>
      <w:r>
        <w:t xml:space="preserve">aplicam-se: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(a) TTL reduzido do JWT do painel:</w:t>
      </w:r>
      <w:r>
        <w:t xml:space="preserve"> </w:t>
      </w:r>
      <w:r>
        <w:rPr>
          <w:rStyle w:val="VerbatimChar"/>
        </w:rPr>
        <w:t xml:space="preserve">JWT_EXPIRE_MINUTES ≤ 30</w:t>
      </w:r>
      <w:r>
        <w:t xml:space="preserve"> </w:t>
      </w:r>
      <w:r>
        <w:t xml:space="preserve">— validado em</w:t>
      </w:r>
      <w:r>
        <w:t xml:space="preserve"> </w:t>
      </w:r>
      <w:r>
        <w:rPr>
          <w:rStyle w:val="VerbatimChar"/>
        </w:rPr>
        <w:t xml:space="preserve">Settings._producao_segredos_obrigatorios</w:t>
      </w:r>
      <w:r>
        <w:t xml:space="preserve"> </w:t>
      </w:r>
      <w:r>
        <w:t xml:space="preserve">(falha de arranque se &gt; 30). Desenvolvimento mantém default longo para UX local.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(b) Cabeçalhos HTTP no Next.js:</w:t>
      </w:r>
      <w:r>
        <w:t xml:space="preserve"> </w:t>
      </w:r>
      <w:r>
        <w:rPr>
          <w:rStyle w:val="VerbatimChar"/>
        </w:rPr>
        <w:t xml:space="preserve">frontend/next.config.mjs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Referrer-Policy: no-referrer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 </w:t>
      </w:r>
      <w:r>
        <w:t xml:space="preserve">restritiva (geolocation/microphone/camera vazios), alinhado ao hardening do handoff de refinamento.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(c) Rate-limit agressivo (API):</w:t>
      </w:r>
      <w:r>
        <w:t xml:space="preserve"> </w:t>
      </w:r>
      <w:r>
        <w:t xml:space="preserve">middleware</w:t>
      </w:r>
      <w:r>
        <w:t xml:space="preserve"> </w:t>
      </w:r>
      <w:r>
        <w:rPr>
          <w:rStyle w:val="VerbatimChar"/>
        </w:rPr>
        <w:t xml:space="preserve">SensitiveRouteRateLimitMiddleware</w:t>
      </w:r>
      <w:r>
        <w:t xml:space="preserve"> </w:t>
      </w:r>
      <w:r>
        <w:t xml:space="preserve">— por defeito</w:t>
      </w:r>
      <w:r>
        <w:t xml:space="preserve"> </w:t>
      </w:r>
      <w:r>
        <w:rPr>
          <w:b/>
          <w:bCs/>
        </w:rPr>
        <w:t xml:space="preserve">5 POST/min/IP</w:t>
      </w:r>
      <w:r>
        <w:t xml:space="preserve"> </w:t>
      </w:r>
      <w:r>
        <w:t xml:space="preserve">por grupo de rota em: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/auth/cadastro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/auth/verificar-email/solicitar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/auth/verificar-email/confirmar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</w:t>
      </w:r>
      <w:r>
        <w:t xml:space="preserve"> </w:t>
      </w:r>
      <w:r>
        <w:t xml:space="preserve">com path prefixo</w:t>
      </w:r>
      <w:r>
        <w:t xml:space="preserve"> </w:t>
      </w:r>
      <w:r>
        <w:rPr>
          <w:rStyle w:val="VerbatimChar"/>
        </w:rPr>
        <w:t xml:space="preserve">/diagnosticos/rascunho-self-service</w:t>
      </w:r>
      <w:r>
        <w:t xml:space="preserve"> </w:t>
      </w:r>
      <w:r>
        <w:t xml:space="preserve">(abrangência controlada: não aplica a todo</w:t>
      </w:r>
      <w:r>
        <w:t xml:space="preserve"> </w:t>
      </w:r>
      <w:r>
        <w:rPr>
          <w:rStyle w:val="VerbatimChar"/>
        </w:rPr>
        <w:t xml:space="preserve">POST /diagnosticos/</w:t>
      </w:r>
      <w:r>
        <w:t xml:space="preserve"> </w:t>
      </w:r>
      <w:r>
        <w:t xml:space="preserve">para não quebrar o wizard autenticado).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(d) Expiração defensiva no cliente:</w:t>
      </w:r>
      <w:r>
        <w:t xml:space="preserve"> </w:t>
      </w:r>
      <w:r>
        <w:t xml:space="preserve">o frontend grava</w:t>
      </w:r>
      <w:r>
        <w:t xml:space="preserve"> </w:t>
      </w:r>
      <w:r>
        <w:rPr>
          <w:rStyle w:val="VerbatimChar"/>
        </w:rPr>
        <w:t xml:space="preserve">admin_token_expires_at</w:t>
      </w:r>
      <w:r>
        <w:t xml:space="preserve"> </w:t>
      </w:r>
      <w:r>
        <w:t xml:space="preserve">derivado do claim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do JWT e limpa 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antes de reutilizar token vencido. Isso não substitui validação server-side, mas reduz permanência prática de token expirado no navegador.</w:t>
      </w:r>
    </w:p>
    <w:p>
      <w:pPr>
        <w:pStyle w:val="FirstParagraph"/>
      </w:pPr>
      <w:r>
        <w:t xml:space="preserve">Env:</w:t>
      </w:r>
      <w:r>
        <w:t xml:space="preserve"> </w:t>
      </w:r>
      <w:r>
        <w:rPr>
          <w:rStyle w:val="VerbatimChar"/>
        </w:rPr>
        <w:t xml:space="preserve">QDI_SENSITIVE_RATE_LIMIT_ENABLED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QDI_SENSITIVE_RATE_LIMIT_PER_MINUTE</w:t>
      </w:r>
      <w:r>
        <w:t xml:space="preserve">.</w:t>
      </w:r>
    </w:p>
    <w:bookmarkEnd w:id="11"/>
    <w:bookmarkStart w:id="12" w:name="condições-de-aceite-po-2026-05-13"/>
    <w:p>
      <w:pPr>
        <w:pStyle w:val="Heading2"/>
      </w:pPr>
      <w:r>
        <w:t xml:space="preserve">Condições de aceite PO (2026-05-13)</w:t>
      </w:r>
    </w:p>
    <w:p>
      <w:pPr>
        <w:pStyle w:val="FirstParagraph"/>
      </w:pPr>
      <w:r>
        <w:rPr>
          <w:b/>
          <w:bCs/>
        </w:rPr>
        <w:t xml:space="preserve">Recomendação objetiva do PO:</w:t>
      </w:r>
      <w:r>
        <w:t xml:space="preserve"> </w:t>
      </w:r>
      <w:r>
        <w:t xml:space="preserve">aceitar</w:t>
      </w:r>
      <w:r>
        <w:t xml:space="preserve"> </w:t>
      </w:r>
      <w:r>
        <w:rPr>
          <w:b/>
          <w:bCs/>
        </w:rPr>
        <w:t xml:space="preserve">H-034</w:t>
      </w:r>
      <w:r>
        <w:t xml:space="preserve"> </w:t>
      </w:r>
      <w:r>
        <w:t xml:space="preserve">com mitigação</w:t>
      </w:r>
      <w:r>
        <w:t xml:space="preserve"> </w:t>
      </w:r>
      <w:r>
        <w:rPr>
          <w:b/>
          <w:bCs/>
        </w:rPr>
        <w:t xml:space="preserve">sem</w:t>
      </w:r>
      <w:r>
        <w:t xml:space="preserve"> </w:t>
      </w:r>
      <w:r>
        <w:t xml:space="preserve">exigir migração para cookie</w:t>
      </w:r>
      <w:r>
        <w:t xml:space="preserve"> </w:t>
      </w:r>
      <w:r>
        <w:rPr>
          <w:b/>
          <w:bCs/>
        </w:rPr>
        <w:t xml:space="preserve">HttpOnly</w:t>
      </w:r>
      <w:r>
        <w:t xml:space="preserve"> </w:t>
      </w:r>
      <w:r>
        <w:t xml:space="preserve">neste momento,</w:t>
      </w:r>
      <w:r>
        <w:t xml:space="preserve"> </w:t>
      </w:r>
      <w:r>
        <w:rPr>
          <w:b/>
          <w:bCs/>
        </w:rPr>
        <w:t xml:space="preserve">desde que</w:t>
      </w:r>
      <w:r>
        <w:t xml:space="preserve"> </w:t>
      </w:r>
      <w:r>
        <w:t xml:space="preserve">se cumpra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o pacote abaixo: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Produção — TTL JWT:</w:t>
      </w:r>
      <w:r>
        <w:t xml:space="preserve"> </w:t>
      </w:r>
      <w:r>
        <w:t xml:space="preserve">evidência (print, log de arranque ou config redigida) de que</w:t>
      </w:r>
      <w:r>
        <w:t xml:space="preserve"> </w:t>
      </w:r>
      <w:r>
        <w:rPr>
          <w:rStyle w:val="VerbatimChar"/>
        </w:rPr>
        <w:t xml:space="preserve">JWT_EXPIRE_MINUTES ≤ 30</w:t>
      </w:r>
      <w:r>
        <w:t xml:space="preserve"> </w:t>
      </w:r>
      <w:r>
        <w:t xml:space="preserve">no ambiente onde</w:t>
      </w:r>
      <w:r>
        <w:t xml:space="preserve"> </w:t>
      </w:r>
      <w:r>
        <w:rPr>
          <w:rStyle w:val="VerbatimChar"/>
        </w:rPr>
        <w:t xml:space="preserve">APP_ENV=production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Produção — headers do front:</w:t>
      </w:r>
      <w:r>
        <w:t xml:space="preserve"> </w:t>
      </w:r>
      <w:r>
        <w:t xml:space="preserve">saída de</w:t>
      </w:r>
      <w:r>
        <w:t xml:space="preserve"> </w:t>
      </w:r>
      <w:r>
        <w:rPr>
          <w:rStyle w:val="VerbatimChar"/>
        </w:rPr>
        <w:t xml:space="preserve">curl -I</w:t>
      </w:r>
      <w:r>
        <w:t xml:space="preserve"> </w:t>
      </w:r>
      <w:r>
        <w:t xml:space="preserve">(ou equivalente) contra o</w:t>
      </w:r>
      <w:r>
        <w:t xml:space="preserve"> </w:t>
      </w:r>
      <w:r>
        <w:rPr>
          <w:b/>
          <w:bCs/>
        </w:rPr>
        <w:t xml:space="preserve">front público</w:t>
      </w:r>
      <w:r>
        <w:t xml:space="preserve"> </w:t>
      </w:r>
      <w:r>
        <w:t xml:space="preserve">publicado, anexada ao dossiê de go-live, mostrando os headers acordados em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desta ADR (ou equivalente documentado).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Produção — rate-limit sensível:</w:t>
      </w:r>
      <w:r>
        <w:t xml:space="preserve"> </w:t>
      </w:r>
      <w:r>
        <w:t xml:space="preserve">burst de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(ou rota coberta pelo mesmo middleware), com anexo do</w:t>
      </w:r>
      <w:r>
        <w:t xml:space="preserve"> </w:t>
      </w:r>
      <w:r>
        <w:rPr>
          <w:b/>
          <w:bCs/>
        </w:rPr>
        <w:t xml:space="preserve">6.º</w:t>
      </w:r>
      <w:r>
        <w:t xml:space="preserve"> </w:t>
      </w:r>
      <w:r>
        <w:t xml:space="preserve">pedido</w:t>
      </w:r>
      <w:r>
        <w:t xml:space="preserve"> </w:t>
      </w:r>
      <w:r>
        <w:rPr>
          <w:b/>
          <w:bCs/>
        </w:rPr>
        <w:t xml:space="preserve">429</w:t>
      </w:r>
      <w:r>
        <w:t xml:space="preserve"> </w:t>
      </w:r>
      <w:r>
        <w:t xml:space="preserve">incluindo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quando devolvido pela API.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Frontend — limpeza defensiva:</w:t>
      </w:r>
      <w:r>
        <w:t xml:space="preserve"> </w:t>
      </w:r>
      <w:r>
        <w:t xml:space="preserve">evidência de build/teste mostrando</w:t>
      </w:r>
      <w:r>
        <w:t xml:space="preserve"> </w:t>
      </w:r>
      <w:r>
        <w:rPr>
          <w:rStyle w:val="VerbatimChar"/>
        </w:rPr>
        <w:t xml:space="preserve">admin_token_expires_at</w:t>
      </w:r>
      <w:r>
        <w:t xml:space="preserve"> </w:t>
      </w:r>
      <w:r>
        <w:t xml:space="preserve">criado no login/cadastro e sessão local descartada ao expirar.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Ata de go-live:</w:t>
      </w:r>
      <w:r>
        <w:t xml:space="preserve"> </w:t>
      </w:r>
      <w:r>
        <w:t xml:space="preserve">constar expressamente a formulação:</w:t>
      </w:r>
      <w:r>
        <w:t xml:space="preserve"> </w:t>
      </w:r>
      <w:r>
        <w:rPr>
          <w:i/>
          <w:iCs/>
        </w:rPr>
        <w:t xml:space="preserve">«risco residual aceite até Onda 1.1, conforme ADR-020»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QA ofensivo:</w:t>
      </w:r>
      <w:r>
        <w:t xml:space="preserve"> </w:t>
      </w:r>
      <w:r>
        <w:rPr>
          <w:b/>
          <w:bCs/>
        </w:rPr>
        <w:t xml:space="preserve">pentest</w:t>
      </w:r>
      <w:r>
        <w:t xml:space="preserve"> </w:t>
      </w:r>
      <w:r>
        <w:t xml:space="preserve">(H-028) e</w:t>
      </w:r>
      <w:r>
        <w:t xml:space="preserve"> </w:t>
      </w:r>
      <w:r>
        <w:rPr>
          <w:b/>
          <w:bCs/>
        </w:rPr>
        <w:t xml:space="preserve">ZAP baseline</w:t>
      </w:r>
      <w:r>
        <w:t xml:space="preserve"> </w:t>
      </w:r>
      <w:r>
        <w:t xml:space="preserve">(H-029)</w:t>
      </w:r>
      <w:r>
        <w:t xml:space="preserve"> </w:t>
      </w:r>
      <w:r>
        <w:rPr>
          <w:b/>
          <w:bCs/>
        </w:rPr>
        <w:t xml:space="preserve">sem</w:t>
      </w:r>
      <w:r>
        <w:t xml:space="preserve"> </w:t>
      </w:r>
      <w:r>
        <w:t xml:space="preserve">XSS explorável nem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aberto</w:t>
      </w:r>
      <w:r>
        <w:t xml:space="preserve"> </w:t>
      </w:r>
      <w:r>
        <w:rPr>
          <w:b/>
          <w:bCs/>
        </w:rPr>
        <w:t xml:space="preserve">relacionado a token</w:t>
      </w:r>
      <w:r>
        <w:t xml:space="preserve"> </w:t>
      </w:r>
      <w:r>
        <w:t xml:space="preserve">/ superfície de sessão que invalide esta ADR.</w:t>
      </w:r>
    </w:p>
    <w:p>
      <w:pPr>
        <w:pStyle w:val="FirstParagraph"/>
      </w:pPr>
      <w:r>
        <w:rPr>
          <w:b/>
          <w:bCs/>
        </w:rPr>
        <w:t xml:space="preserve">Quando cookie HttpOnly (ADR-004) passa a ser exigido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antes</w:t>
      </w:r>
      <w:r>
        <w:rPr>
          <w:b/>
          <w:bCs/>
        </w:rPr>
        <w:t xml:space="preserve"> </w:t>
      </w:r>
      <w:r>
        <w:rPr>
          <w:b/>
          <w:bCs/>
        </w:rPr>
        <w:t xml:space="preserve">de produção</w:t>
      </w:r>
    </w:p>
    <w:p>
      <w:pPr>
        <w:pStyle w:val="BodyText"/>
      </w:pPr>
      <w:r>
        <w:t xml:space="preserve">Somente se ocorrer</w:t>
      </w:r>
      <w:r>
        <w:t xml:space="preserve"> </w:t>
      </w:r>
      <w:r>
        <w:rPr>
          <w:b/>
          <w:bCs/>
        </w:rPr>
        <w:t xml:space="preserve">qualquer</w:t>
      </w:r>
      <w:r>
        <w:t xml:space="preserve"> </w:t>
      </w:r>
      <w:r>
        <w:t xml:space="preserve">destes casos:</w:t>
      </w:r>
    </w:p>
    <w:p>
      <w:pPr>
        <w:pStyle w:val="Compact"/>
        <w:numPr>
          <w:ilvl w:val="0"/>
          <w:numId w:val="1006"/>
        </w:numPr>
      </w:pPr>
      <w:r>
        <w:t xml:space="preserve">falha de</w:t>
      </w:r>
      <w:r>
        <w:t xml:space="preserve"> </w:t>
      </w:r>
      <w:r>
        <w:rPr>
          <w:b/>
          <w:bCs/>
        </w:rPr>
        <w:t xml:space="preserve">qualquer</w:t>
      </w:r>
      <w:r>
        <w:t xml:space="preserve"> </w:t>
      </w:r>
      <w:r>
        <w:t xml:space="preserve">evidência do pacote (itens 1–4) ou incumprimento do registo na ata (item 5);</w:t>
      </w:r>
    </w:p>
    <w:p>
      <w:pPr>
        <w:pStyle w:val="Compact"/>
        <w:numPr>
          <w:ilvl w:val="0"/>
          <w:numId w:val="1006"/>
        </w:numPr>
      </w:pPr>
      <w:r>
        <w:t xml:space="preserve">existir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XSS</w:t>
      </w:r>
      <w:r>
        <w:t xml:space="preserve"> </w:t>
      </w:r>
      <w:r>
        <w:t xml:space="preserve">aberto (ou equivalente tratado como bloqueante no</w:t>
      </w:r>
      <w:r>
        <w:t xml:space="preserve"> </w:t>
      </w:r>
      <w:r>
        <w:rPr>
          <w:rStyle w:val="VerbatimChar"/>
        </w:rPr>
        <w:t xml:space="preserve">CRITERIO_ACEITE_PENTEST.md</w:t>
      </w:r>
      <w:r>
        <w:t xml:space="preserve">) ligado ao modelo de token;</w:t>
      </w:r>
    </w:p>
    <w:p>
      <w:pPr>
        <w:pStyle w:val="Compact"/>
        <w:numPr>
          <w:ilvl w:val="0"/>
          <w:numId w:val="1006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posicionamento comercial</w:t>
      </w:r>
      <w:r>
        <w:t xml:space="preserve"> </w:t>
      </w:r>
      <w:r>
        <w:t xml:space="preserve">passar a prometer</w:t>
      </w:r>
      <w:r>
        <w:t xml:space="preserve"> </w:t>
      </w:r>
      <w:r>
        <w:rPr>
          <w:b/>
          <w:bCs/>
        </w:rPr>
        <w:t xml:space="preserve">segurança de sessão forte</w:t>
      </w:r>
      <w:r>
        <w:t xml:space="preserve"> </w:t>
      </w:r>
      <w:r>
        <w:t xml:space="preserve">(ou linguagem equivalente a «sessão inviolável») incompatível com JWT em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— manter copy alinhada à</w:t>
      </w:r>
      <w:r>
        <w:t xml:space="preserve"> </w:t>
      </w:r>
      <w:r>
        <w:rPr>
          <w:b/>
          <w:bCs/>
        </w:rPr>
        <w:t xml:space="preserve">ADR-020</w:t>
      </w:r>
      <w:r>
        <w:t xml:space="preserve"> </w:t>
      </w:r>
      <w:r>
        <w:t xml:space="preserve">até Onda 1.1.</w:t>
      </w:r>
    </w:p>
    <w:bookmarkEnd w:id="12"/>
    <w:bookmarkStart w:id="13" w:name="consequências"/>
    <w:p>
      <w:pPr>
        <w:pStyle w:val="Heading2"/>
      </w:pPr>
      <w:r>
        <w:t xml:space="preserve">Consequências</w:t>
      </w:r>
    </w:p>
    <w:p>
      <w:pPr>
        <w:pStyle w:val="Compact"/>
        <w:numPr>
          <w:ilvl w:val="0"/>
          <w:numId w:val="1007"/>
        </w:numPr>
      </w:pPr>
      <w:r>
        <w:t xml:space="preserve">Ata de go-live deve listar explicitamente «JWT em localStorage — ADR-020</w:t>
      </w:r>
      <w:r>
        <w:t xml:space="preserve"> </w:t>
      </w:r>
      <w:r>
        <w:rPr>
          <w:b/>
          <w:bCs/>
        </w:rPr>
        <w:t xml:space="preserve">e mitigações compensatórias desta ADR implementadas</w:t>
      </w:r>
      <w:r>
        <w:t xml:space="preserve">» como risco aceite e, quando aplicável, a frase de aceite PO da secção</w:t>
      </w:r>
      <w:r>
        <w:t xml:space="preserve"> </w:t>
      </w:r>
      <w:r>
        <w:rPr>
          <w:i/>
          <w:iCs/>
        </w:rPr>
        <w:t xml:space="preserve">Condições de aceite PO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Onda 1.1 remove o token sensível do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ou documenta exceção aprovada pelo PO.</w:t>
      </w:r>
    </w:p>
    <w:bookmarkEnd w:id="13"/>
    <w:bookmarkStart w:id="14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ADR-004</w:t>
      </w:r>
      <w:r>
        <w:t xml:space="preserve"> </w:t>
      </w:r>
      <w:r>
        <w:t xml:space="preserve">— roadmap técnico HttpOnly.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.cursor/rules/qdi-lexico-plataforma.mdc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ADR-020 - JWT localStorage e risco residual - QDI</dc:title>
  <dc:creator/>
  <cp:keywords/>
  <dcterms:created xsi:type="dcterms:W3CDTF">2026-05-13T20:12:22Z</dcterms:created>
  <dcterms:modified xsi:type="dcterms:W3CDTF">2026-05-13T20:12:22Z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