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QualiDiagIQ (QDI)</w:t>
      </w:r>
    </w:p>
    <w:p>
      <w:pPr>
        <w:jc w:val="center"/>
      </w:pPr>
      <w:r>
        <w:rPr>
          <w:b/>
          <w:sz w:val="36"/>
        </w:rPr>
        <w:t>Memorando Executivo para Validação Jurídica</w:t>
      </w:r>
    </w:p>
    <w:p>
      <w:pPr>
        <w:jc w:val="center"/>
      </w:pPr>
      <w:r>
        <w:rPr>
          <w:i/>
        </w:rPr>
        <w:t>Pacote de Go-Live Público -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849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Projeto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QualiDiagIQ (QDI), módulo do ecossistema Tributiq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Objetivo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Submeter ao jurídico/DPO os pontos legais que condicionam o go-live público.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Data-base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13/05/2026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Data-alvo de produção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15/06/2026, condicionada ao fechamento dos gates jurídicos, operacionais e de segurança.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Domínios previstos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https://qualidiagiq.com.br e https://tributiq.com.br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Infraestrutura escolhida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HostDime Cloud para hospedagem/cloud; demais subprocessadores dependem da arquitetura aprovada.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Solicitante / PO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Allan Marcio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Status do documento</w:t>
            </w:r>
          </w:p>
        </w:tc>
        <w:tc>
          <w:tcPr>
            <w:tcW w:type="dxa" w:w="84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Rascunho executivo para validação jurídica. Não constitui parecer jurídico.</w:t>
            </w:r>
          </w:p>
        </w:tc>
      </w:tr>
    </w:tbl>
    <w:p/>
    <w:p>
      <w:pPr>
        <w:pStyle w:val="Heading1"/>
      </w:pPr>
      <w:r>
        <w:t>Declaração de finalidade</w:t>
      </w:r>
    </w:p>
    <w:p>
      <w:r>
        <w:rPr>
          <w:b/>
        </w:rPr>
        <w:t xml:space="preserve">Este documento organiza informações técnicas e decisões de produto para análise do jurídico/DPO. </w:t>
      </w:r>
      <w:r>
        <w:t>Ele não substitui parecer jurídico, RIPD, RAT formal, contrato, política de privacidade publicada ou ato de designação do encarregado. O objetivo é permitir validação objetiva, indicação de ajustes e registro de condições antes de tráfego público.</w:t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O QDI é um SaaS multi-tenant de diagnóstico tributário automatizado, com fluxo self-service e painel de consultores.</w:t>
      </w:r>
    </w:p>
    <w:p>
      <w:pPr>
        <w:pStyle w:val="ListBullet"/>
      </w:pPr>
      <w:r>
        <w:t>O repositório já possui minutas e artefatos técnicos para bases legais, RAT, SOP de direitos do titular, retenção/redaction, política de autenticação e ata de go-live.</w:t>
      </w:r>
    </w:p>
    <w:p>
      <w:pPr>
        <w:pStyle w:val="ListBullet"/>
      </w:pPr>
      <w:r>
        <w:t>O go-live público deve permanecer condicionado à validação jurídica de bases legais, subprocessadores, DPO, RIPD/dispensa, direitos do titular e retenção/WORM.</w:t>
      </w:r>
    </w:p>
    <w:p>
      <w:pPr>
        <w:pStyle w:val="ListBullet"/>
      </w:pPr>
      <w:r>
        <w:t>Termos de Uso e Política de Privacidade possuem parecer anterior arquivado, mas devem permanecer compatíveis com a operação real, domínios, operadores, retenções e fluxos finais.</w:t>
      </w:r>
    </w:p>
    <w:p>
      <w:pPr>
        <w:pStyle w:val="Heading1"/>
      </w:pPr>
      <w:r>
        <w:t>2. Decisões solicitadas ao jurídico/DPO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741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Pergunta executiva para validação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J1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Bases legais do tratamento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ou ajustar as bases propostas para diagnóstico, OTP, segurança/fraude, retenção fiscal e defesa em controvérsia.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J2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 / inventário de tratamento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estrutura do RAT, subprocessadores, transferências, papéis controlador/operador e necessidade de anexos contratuais.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J3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RIPD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Determinar se é obrigatório, recomendado ou dispensável com justificativa formal; se obrigatório, indicar escopo mínimo.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J4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DPO / encarregado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designação provisória de Allan Marcio e orientar ato formal, substituto, canal e publicidade.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J5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Direitos do titular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SOP art. 18, autenticação do titular, prazos, registro e exceções por retenção legal/WORM.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J6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Retenção e eliminação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prazos de logs, Sentry, backups, rascunhos e diagnósticos finalizados; resolver tensão entre eliminação e imutabilidade de evidências.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J7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Subprocessadores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lista mínima: HostDime Cloud, Supabase, Sentry, e-mail transacional, provedor LLM/IA e eventuais serviços de observabilidade.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J8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Segurança/autenticação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aceite de risco residual JWT em localStorage, recuperação de senha por script e linguagem pública sem promessa excessiva.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J9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Incidentes e ANPD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gatilhos, prazos e responsáveis para comunicação de incidente de segurança e comunicação a titulares.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J10</w:t>
            </w:r>
          </w:p>
        </w:tc>
        <w:tc>
          <w:tcPr>
            <w:tcW w:type="dxa" w:w="22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Contratos e páginas públicas</w:t>
            </w:r>
          </w:p>
        </w:tc>
        <w:tc>
          <w:tcPr>
            <w:tcW w:type="dxa" w:w="74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se Termos, Política de Privacidade e contratos refletem domínios, operador, retenções, DPO e fornecedores reais.</w:t>
            </w:r>
          </w:p>
        </w:tc>
        <w:tc>
          <w:tcPr>
            <w:tcW w:type="dxa" w:w="10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Alta</w:t>
            </w:r>
          </w:p>
        </w:tc>
      </w:tr>
    </w:tbl>
    <w:p/>
    <w:p>
      <w:pPr>
        <w:pStyle w:val="Heading1"/>
      </w:pPr>
      <w:r>
        <w:t>3. Fatos técnicos para contextualização jurídica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9072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Produto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tributário automatizado para Reforma Tributária do Consumo, EC 132/2023 e LC 214/2025.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Arquitetura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SaaS multi-tenant com isolamento por tenant_id e RLS no PostgreSQL/Supabase.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Públicos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Consultores autorizados no painel e usuários/empresas no fluxo self-service.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Dados principais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CNPJ, e-mail, telefone, respostas do wizard, evidências/artefatos de diagnóstico, logs técnicos e trilhas de auditoria.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IA / LLM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Uso de agentes/LLM e RAG com guardrails; jurídico deve validar transparência, limites e risco de dados enviados a subprocessadores.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Autenticação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JWT Bearer no painel, hoje persistido em localStorage com mitigação ADR-020; OTP no fluxo self-service.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Logs e observabilidade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Sentry com scrubbing PII, trace_id e retenções MVP propostas.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DPO provisório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Allan Marcio, e-mail allan@tributolab.com.br, pendente ato formal ou DPO externo.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Infraestrutura pública</w:t>
            </w:r>
          </w:p>
        </w:tc>
        <w:tc>
          <w:tcPr>
            <w:tcW w:type="dxa" w:w="90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HostDime Cloud; domínios qualidiagiq.com.br e tributiq.com.br.</w:t>
            </w:r>
          </w:p>
        </w:tc>
      </w:tr>
    </w:tbl>
    <w:p/>
    <w:p>
      <w:pPr>
        <w:pStyle w:val="Heading1"/>
      </w:pPr>
      <w:r>
        <w:t>4. Matriz de validação jurídica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9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Estado atual</w:t>
            </w:r>
          </w:p>
        </w:tc>
        <w:tc>
          <w:tcPr>
            <w:tcW w:type="dxa" w:w="453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Validação jurídica requerida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Referência interna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Bases legais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Art. 7º, V para execução de contrato/procedimentos preliminares; art. 7º, IX para segurança/fraude; art. 7º, II para obrigações legais.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se as bases são adequadas por finalidade e se há necessidade de teste de legítimo interesse documentado.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docs/legal/BASES_LEGAIS_TRATAMENTO.md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Dados pessoais e fiscais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 produto trata dados empresariais e dados pessoais de contato/usuário; pode haver dados fiscais e sensíveis de negócio.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classificação, minimização, aviso ao titular e se há dados pessoais sensíveis em algum fluxo.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 e Política de Privacidade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 / ROT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 atual é operacional e referencia subprocessadores e medidas técnicas.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Transformar em documento formal ou indicar complemento exigido para ROT/RAT oficial.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docs/legal/RAT.md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RIPD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Pendência H-030 marcada como bloqueadora de go-live público.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Definir se RIPD é obrigatório ou se basta nota técnica/justificativa assinada; indicar escopo.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_DEVELOPER/DECISAO_EXTERNA/README_PENDENCIAS_GO_LIVE.md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DPO / encarregado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Allan Marcio registrado como DPO provisório, sem ato formal definitivo.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suficiência, indicar ato formal, substituto e publicação do canal.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docs/legal/STATUS_JURIDICO_MVP.md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Direitos do titular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SOP cobre confirmação, acesso, correção, anonimização, bloqueio, eliminação, portabilidade e revogação.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prazos, autenticação do titular, exceções por retenção legal e modelo de registro.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docs/legal/SOP_DIREITOS_TITULAR_LGPD.md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Retenção/WORM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Diagnósticos finalizados propostos como retenção indefinida por imutabilidade de evidências.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base legal, prazo, governança de eliminação/anonimização e comunicação na política pública.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_DEVELOPER/DECISAO_EXTERNA/RETENCAO_LOGS_REDACTION.md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Subprocessadores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HostDime Cloud, Supabase, Sentry, e-mail transacional e LLM/IA devem compor anexo.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lista, papéis, transferências internacionais, DPAs e cláusulas contratuais.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 + contratos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Segurança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JWT em localStorage aceito provisoriamente com TTL, headers, rate-limit, ZAP e pentest.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Validar linguagem de risco residual e se medidas bastam para go-live sob ótica jurídica.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ADR-020 + Política de Autenticação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Incidentes</w:t>
            </w:r>
          </w:p>
        </w:tc>
        <w:tc>
          <w:tcPr>
            <w:tcW w:type="dxa" w:w="309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SLO/RPO/RTO ratificados; comunicação externa via status page futura.</w:t>
            </w:r>
          </w:p>
        </w:tc>
        <w:tc>
          <w:tcPr>
            <w:tcW w:type="dxa" w:w="45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Confirmar procedimento de incidente LGPD, prazos, responsáveis e evidências mínimas.</w:t>
            </w:r>
          </w:p>
        </w:tc>
        <w:tc>
          <w:tcPr>
            <w:tcW w:type="dxa" w:w="20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SLO, RPO_RTO, Runbooks</w:t>
            </w:r>
          </w:p>
        </w:tc>
      </w:tr>
    </w:tbl>
    <w:p/>
    <w:p>
      <w:pPr>
        <w:pStyle w:val="Heading1"/>
      </w:pPr>
      <w:r>
        <w:t>5. Entregáveis esperados do jurídico/DPO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Critério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Parecer ou despacho de validação das bases legais por finalidade.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RAT/ROT validado, com subprocessadores, papéis, transferências e medidas técnicas.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RIPD assinado ou nota formal de dispensa/adiamento justificado.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Ato de designação do encarregado/DPO ou recomendação de DPO externo; indicar substituto.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 ou exceção assinada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SOP de direitos do titular revisado, incluindo autenticação e exceções de retenção.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Validação da política de retenção/redaction e compatibilidade com WORM.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Checklist de ajustes necessários em Termos, Política de Privacidade e contratos.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Obrigatório antes do público</w:t>
            </w:r>
          </w:p>
        </w:tc>
      </w:tr>
    </w:tbl>
    <w:p/>
    <w:p>
      <w:pPr>
        <w:pStyle w:val="Heading1"/>
      </w:pPr>
      <w:r>
        <w:t>6. Perguntas objetivas para resposta do jurídico</w:t>
      </w:r>
    </w:p>
    <w:p>
      <w:pPr>
        <w:pStyle w:val="ListNumber"/>
      </w:pPr>
      <w:r>
        <w:t>As bases legais propostas por finalidade estão corretas ou devem ser substituídas/segmentadas?</w:t>
      </w:r>
    </w:p>
    <w:p>
      <w:pPr>
        <w:pStyle w:val="ListNumber"/>
      </w:pPr>
      <w:r>
        <w:t>Há dados pessoais sensíveis no fluxo atual ou risco de coleta indireta que exija vedação/campos de alerta?</w:t>
      </w:r>
    </w:p>
    <w:p>
      <w:pPr>
        <w:pStyle w:val="ListNumber"/>
      </w:pPr>
      <w:r>
        <w:t>A operação exige RIPD completo antes do go-live público? Se sim, qual escopo mínimo?</w:t>
      </w:r>
    </w:p>
    <w:p>
      <w:pPr>
        <w:pStyle w:val="ListNumber"/>
      </w:pPr>
      <w:r>
        <w:t>A designação provisória de Allan como DPO é aceitável para MVP? Qual documento formal deve ser arquivado?</w:t>
      </w:r>
    </w:p>
    <w:p>
      <w:pPr>
        <w:pStyle w:val="ListNumber"/>
      </w:pPr>
      <w:r>
        <w:t>Quais subprocessadores devem constar expressamente em política/contrato/RAT?</w:t>
      </w:r>
    </w:p>
    <w:p>
      <w:pPr>
        <w:pStyle w:val="ListNumber"/>
      </w:pPr>
      <w:r>
        <w:t>Há transferência internacional de dados pelos subprocessadores ou provedor LLM? Quais cláusulas/DPAs são necessários?</w:t>
      </w:r>
    </w:p>
    <w:p>
      <w:pPr>
        <w:pStyle w:val="ListNumber"/>
      </w:pPr>
      <w:r>
        <w:t>A retenção indefinida de diagnósticos finalizados é aceitável como evidência WORM? Qual base e limite?</w:t>
      </w:r>
    </w:p>
    <w:p>
      <w:pPr>
        <w:pStyle w:val="ListNumber"/>
      </w:pPr>
      <w:r>
        <w:t>Como tratar pedido de eliminação quando há diagnóstico finalizado, obrigação fiscal ou trilha antifraude?</w:t>
      </w:r>
    </w:p>
    <w:p>
      <w:pPr>
        <w:pStyle w:val="ListNumber"/>
      </w:pPr>
      <w:r>
        <w:t>A recuperação de senha por script e o JWT em localStorage podem seguir como risco residual documentado no MVP?</w:t>
      </w:r>
    </w:p>
    <w:p>
      <w:pPr>
        <w:pStyle w:val="ListNumber"/>
      </w:pPr>
      <w:r>
        <w:t>Termos de Uso e Política de Privacidade aprovados em 2026-05-07 continuam aderentes à operação real após HostDime Cloud, Sentry, LLM, retenções e DPO provisório?</w:t>
      </w:r>
    </w:p>
    <w:p>
      <w:pPr>
        <w:pStyle w:val="ListNumber"/>
      </w:pPr>
      <w:r>
        <w:t>Qual rito de comunicação de incidente deve ser adotado para ANPD/titulares?</w:t>
      </w:r>
    </w:p>
    <w:p>
      <w:pPr>
        <w:pStyle w:val="Heading1"/>
      </w:pPr>
      <w:r>
        <w:t>7. Gate jurídico recomendado antes do go-live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9216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Condição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J1 Bases legais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Documento validado e assinado ou e-mail formal do jurídico/DPO aprovando o racional.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J2 RAT/ROT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Lista de tratamento e subprocessadores validada.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J3 RIPD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RIPD assinado ou dispensa formal justificada.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J4 DPO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Canal e ato de designação definidos; substituto ou exceção registrados.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J5 Direitos do titular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SOP aprovado e registro operacional definido.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J6 Retenção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Prazos e exceções aprovados; WORM compatibilizado com LGPD.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J7 Páginas públicas</w:t>
            </w:r>
          </w:p>
        </w:tc>
        <w:tc>
          <w:tcPr>
            <w:tcW w:type="dxa" w:w="921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Termos e Política de Privacidade revisados contra operação real.</w:t>
            </w:r>
          </w:p>
        </w:tc>
      </w:tr>
    </w:tbl>
    <w:p/>
    <w:p>
      <w:pPr>
        <w:pStyle w:val="Heading1"/>
      </w:pPr>
      <w:r>
        <w:t>8. Documentos internos que devem acompanhar a validação</w:t>
      </w:r>
    </w:p>
    <w:p>
      <w:pPr>
        <w:pStyle w:val="ListBullet"/>
      </w:pPr>
      <w:r>
        <w:t>docs/legal/BASES_LEGAIS_TRATAMENTO.md</w:t>
      </w:r>
    </w:p>
    <w:p>
      <w:pPr>
        <w:pStyle w:val="ListBullet"/>
      </w:pPr>
      <w:r>
        <w:t>docs/legal/RAT.md</w:t>
      </w:r>
    </w:p>
    <w:p>
      <w:pPr>
        <w:pStyle w:val="ListBullet"/>
      </w:pPr>
      <w:r>
        <w:t>docs/legal/SOP_DIREITOS_TITULAR_LGPD.md</w:t>
      </w:r>
    </w:p>
    <w:p>
      <w:pPr>
        <w:pStyle w:val="ListBullet"/>
      </w:pPr>
      <w:r>
        <w:t>docs/legal/STATUS_JURIDICO_MVP.md</w:t>
      </w:r>
    </w:p>
    <w:p>
      <w:pPr>
        <w:pStyle w:val="ListBullet"/>
      </w:pPr>
      <w:r>
        <w:t>_DEVELOPER/DECISAO_EXTERNA/README_PENDENCIAS_GO_LIVE.md</w:t>
      </w:r>
    </w:p>
    <w:p>
      <w:pPr>
        <w:pStyle w:val="ListBullet"/>
      </w:pPr>
      <w:r>
        <w:t>_DEVELOPER/DECISAO_EXTERNA/RETENCAO_LOGS_REDACTION.md</w:t>
      </w:r>
    </w:p>
    <w:p>
      <w:pPr>
        <w:pStyle w:val="ListBullet"/>
      </w:pPr>
      <w:r>
        <w:t>_DEVELOPER/DECISAO_EXTERNA/POLITICA_AUTENTICACAO.md</w:t>
      </w:r>
    </w:p>
    <w:p>
      <w:pPr>
        <w:pStyle w:val="ListBullet"/>
      </w:pPr>
      <w:r>
        <w:t>_DEVELOPER/DECISAO_EXTERNA/ATA_DECISAO_GO_LIVE_2026-05-13.md</w:t>
      </w:r>
    </w:p>
    <w:p>
      <w:pPr>
        <w:pStyle w:val="ListBullet"/>
      </w:pPr>
      <w:r>
        <w:t>_DEVELOPER/DECISAO_EXTERNA/SLO_OPERACAO_QDI.md</w:t>
      </w:r>
    </w:p>
    <w:p>
      <w:pPr>
        <w:pStyle w:val="ListBullet"/>
      </w:pPr>
      <w:r>
        <w:t>docs/operacao/RPO_RTO.md</w:t>
      </w:r>
    </w:p>
    <w:p>
      <w:pPr>
        <w:pStyle w:val="ListBullet"/>
      </w:pPr>
      <w:r>
        <w:t>docs/operacao/STATUS_PAGE.md</w:t>
      </w:r>
    </w:p>
    <w:p>
      <w:pPr>
        <w:pStyle w:val="ListBullet"/>
      </w:pPr>
      <w:r>
        <w:t>.github/adr/ADR-020-go-live-jwt-localstorage-risco-residual.md</w:t>
      </w:r>
    </w:p>
    <w:p>
      <w:pPr>
        <w:pStyle w:val="Heading1"/>
      </w:pPr>
      <w:r>
        <w:t>9. Referências normativas oficiais consultadas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672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6048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LGPD</w:t>
            </w:r>
          </w:p>
        </w:tc>
        <w:tc>
          <w:tcPr>
            <w:tcW w:type="dxa" w:w="36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Lei nº 13.709/2018, texto compilado</w:t>
            </w:r>
          </w:p>
        </w:tc>
        <w:tc>
          <w:tcPr>
            <w:tcW w:type="dxa" w:w="60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https://www.planalto.gov.br/ccivil_03/_Ato2015-2018/2018/Lei/L13709compilado.htm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Reforma Tributária</w:t>
            </w:r>
          </w:p>
        </w:tc>
        <w:tc>
          <w:tcPr>
            <w:tcW w:type="dxa" w:w="36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Emenda Constitucional nº 132/2023</w:t>
            </w:r>
          </w:p>
        </w:tc>
        <w:tc>
          <w:tcPr>
            <w:tcW w:type="dxa" w:w="60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https://www.planalto.gov.br/ccivil_03/constituicao/emendas/emc/emc132.htm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IBS/CBS/IS</w:t>
            </w:r>
          </w:p>
        </w:tc>
        <w:tc>
          <w:tcPr>
            <w:tcW w:type="dxa" w:w="36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Lei Complementar nº 214/2025</w:t>
            </w:r>
          </w:p>
        </w:tc>
        <w:tc>
          <w:tcPr>
            <w:tcW w:type="dxa" w:w="60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https://planalto.gov.br/ccivil_03/Leis/LCP/Lcp214.htm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ANPD pequeno porte</w:t>
            </w:r>
          </w:p>
        </w:tc>
        <w:tc>
          <w:tcPr>
            <w:tcW w:type="dxa" w:w="36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Resolução CD/ANPD nº 2/2022</w:t>
            </w:r>
          </w:p>
        </w:tc>
        <w:tc>
          <w:tcPr>
            <w:tcW w:type="dxa" w:w="60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https://www.gov.br/anpd/pt-br/acesso-a-informacao/institucional/atos-normativos/regulamentacoes_anpd/resolucao-cd-anpd-no-2-de-27-de-janeiro-de-2022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Encarregado/DPO</w:t>
            </w:r>
          </w:p>
        </w:tc>
        <w:tc>
          <w:tcPr>
            <w:tcW w:type="dxa" w:w="36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Resolução CD/ANPD nº 18/2024 - referência para validação pelo jurídico</w:t>
            </w:r>
          </w:p>
        </w:tc>
        <w:tc>
          <w:tcPr>
            <w:tcW w:type="dxa" w:w="60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https://dspace.mj.gov.br/handle/1/13151?locale=pt_BR</w:t>
            </w:r>
          </w:p>
        </w:tc>
      </w:tr>
    </w:tbl>
    <w:p/>
    <w:p>
      <w:pPr>
        <w:pStyle w:val="Heading1"/>
      </w:pPr>
      <w:r>
        <w:t>10. Área para manifestação jurídica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Preenchimento pelo jurídico/DPO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Parecer geral</w:t>
            </w:r>
          </w:p>
        </w:tc>
        <w:tc>
          <w:tcPr>
            <w:tcW w:type="dxa" w:w="83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Aprovar sem ajustes / Aprovar com condições / Reprovar até ajustes / Solicitar documentos adicionais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Condições obrigatórias</w:t>
            </w:r>
          </w:p>
        </w:tc>
        <w:tc>
          <w:tcPr>
            <w:tcW w:type="dxa" w:w="83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Responsável jurídico/DPO</w:t>
            </w:r>
          </w:p>
        </w:tc>
        <w:tc>
          <w:tcPr>
            <w:tcW w:type="dxa" w:w="83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83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Assinatura</w:t>
            </w:r>
          </w:p>
        </w:tc>
        <w:tc>
          <w:tcPr>
            <w:tcW w:type="dxa" w:w="83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QualiDiagIQ - Memorando Executivo para Validação Jurídica - Rascunho técnico para revisão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Executivo para Validação Jurídica - QDI</dc:title>
  <dc:subject>Pacote jurídico/DPO para go-live público QualiDiagIQ</dc:subject>
  <dc:creator>Codex</dc:creator>
  <cp:keywords>QualiDiagIQ, LGPD, RAT, RIPD, DPO, go-live, jurídico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