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3A5F"/>
          <w:sz w:val="40"/>
        </w:rPr>
        <w:t>REFORMA TRIBUTÁRIA — CLASSIFICAÇÃO DO MIX DE PRODUTOS</w:t>
      </w:r>
    </w:p>
    <w:p>
      <w:r>
        <w:rPr>
          <w:rFonts w:ascii="Arial" w:hAnsi="Arial"/>
          <w:b/>
          <w:i w:val="0"/>
          <w:color w:val="2E5C8A"/>
          <w:sz w:val="28"/>
        </w:rPr>
        <w:t>Parecer Técnico PT-001</w:t>
      </w:r>
    </w:p>
    <w:p>
      <w:r>
        <w:rPr>
          <w:rFonts w:ascii="Arial" w:hAnsi="Arial"/>
          <w:b/>
          <w:i w:val="0"/>
          <w:sz w:val="32"/>
        </w:rPr>
        <w:t>Visão Geral da Classificação Tributária do Mix de Produtos sob a Reforma Tributária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803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Código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PT-001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Título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Visão Geral da Classificação Tributária do Mix de Produtos sob a Reforma Tributária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Perfil técnico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Arquiteto Tributário SaaS + Consultor Tributarista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Base normativa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EC 132/2023; LC 214/2025; NT 2025.002 NF-e/NFC-e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Vigência aplicável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2026-2033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Autor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Allan Marcio (mentoria: Claude — Arquiteto Tributário SaaS)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Data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27/04/2026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Projeto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014-SAAS_REFORMA / Tributiq / QualiClassIQ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3A5F"/>
          <w:sz w:val="28"/>
        </w:rPr>
        <w:t>1. Resposta Direta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 Reforma Tributária do Consumo, instituída pela EC 132/2023 e regulamentada pela LC 214/2025, redefine integralmente como cada item do mix de produtos da empresa deve ser classificado fiscalmente. A classificação correta passa a depender de uma combinação de quatro vetores: (i) NCM/SH, (ii) CST IBS/CBS, (iii) cClassTrib (Código de Classificação Tributária do IBS/CBS) e (iv) cCredPres (Crédito Presumido). A não observância desses vetores compromete a apuração de IBS, CBS e Imposto Seletivo a partir de 2026.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2. Fundamentação e Analogia Técnica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Para um analista com background em Winthor (PC Sistemas/TOTVS) e Oracle, a melhor analogia é a seguinte: no modelo atual (PIS/COFINS/ICMS/IPI/ISS), o cadastro fiscal de um produto era controlado por tabelas como PCST (Situação Tributária ICMS), PCEMBALAGEM, PCTRIBUTACAO e amarrações de NCM/CFOP. No modelo da Reforma, esse 'núcleo de tributação' é substituído por uma tripla obrigatória: NCM × CST IBS/CBS × cClassTrib, à qual se soma o cCredPres quando há crédito presumido.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Em termos de modelagem de dados (Clean Architecture), o Domínio (Entidade Produto) ganha um novo Value Object chamado ClassificacaoFiscal contendo {ncm, cst_ibs, cst_cbs, cclasstrib, ccredpres, regime_especifico, data_vigencia_inicio, data_vigencia_fim}. Isso é equivalente, no Delphi, a refatorar o tFrmCadProduto para agregar uma classe TClassificacaoFiscalReforma com persistência própria.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3. Os Quatro Vetores de Classificação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Vetor</w:t>
            </w:r>
          </w:p>
        </w:tc>
        <w:tc>
          <w:tcPr>
            <w:tcW w:type="dxa" w:w="2551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Função</w:t>
            </w:r>
          </w:p>
        </w:tc>
        <w:tc>
          <w:tcPr>
            <w:tcW w:type="dxa" w:w="1984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Origem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Quando Surge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Obrigatório a partir de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NCM/SH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Identifica natureza física do produto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Mercosul (anterior à Reforma)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Cadastro do item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Janeiro/2026 (já obrigatório)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CST IBS/CBS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Define situação tributária (tributado, isento, alíquota zero, suspenso)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NT 2025.002 v.1.40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NF-e/NFC-e a partir de 2026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Janeiro/2026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cClassTrib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Detalha o dispositivo legal (LC 214/2025) que rege a operação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NT 2025.002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Cada item da NF-e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Janeiro/2026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cCredPres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Identifica hipótese de crédito presumido (13 códigos)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Tabela RFB/Comitê Gestor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Operações com benefício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Junho/2025 (vigência)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4. Como o Mix de Produtos é Impactado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 reclassificação do mix exige mapear cada SKU contra cinco perguntas-chave: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Qual o NCM correto e está atualizado conforme última TIPI?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O produto está em algum anexo da LC 214 (cesta básica, redução 60%, redução 30%, alíquota zero)?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A operação se enquadra em regime específico (combustíveis, bebidas frias, sistema financeiro, planos de saúde, ZFM, etc.)?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Há crédito presumido aplicável (cCredPres) na operação ou na entrada?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O produto é objeto do Imposto Seletivo (cigarro, bebida alcoólica, refrigerante, combustível fóssil, mineração, veículos)?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5. Exemplo Prático Multi-Setor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Considere o mesmo NCM 1905.31.00 (biscoitos doces) em três cenários de mix: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Setor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Operação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NCM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cClassTrib (referencial)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Tratamento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Indústria → Atacado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Venda interestadual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1905.31.00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000001 (tributação integral)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Alíquota padrão IBS+CBS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Atacado → Varejo (Cesta básica*)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Revenda doméstica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1905.31.00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Não aplicável a esse NCM (apenas se constasse no Anexo I)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Tributação integral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Varejo → ZFM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Venda para indústria incentivada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1905.31.00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Código de redução a zero (art. 445)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Alíquota zero IBS/CBS na entrada na ZFM</w:t>
            </w:r>
          </w:p>
        </w:tc>
      </w:tr>
    </w:tbl>
    <w:p>
      <w:pPr>
        <w:jc w:val="both"/>
      </w:pPr>
      <w:r>
        <w:rPr>
          <w:rFonts w:ascii="Arial" w:hAnsi="Arial"/>
          <w:b w:val="0"/>
          <w:i/>
          <w:sz w:val="20"/>
        </w:rPr>
        <w:t>* O biscoito 1905.31.00 NÃO consta na Cesta Básica Nacional (Anexo I LC 214). O exemplo demonstra como o mesmo NCM tem cClassTrib e tratamento totalmente distintos conforme a natureza da operação.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6. Modelagem para SaaS (QualiClassIQ)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Sob a perspectiva de arquitetura de produto, propõe-se a seguinte estrutura de tabelas no Supabase/PostgreSQL (com Row Level Security por tenant):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AF2FA"/>
          </w:tcPr>
          <w:p>
            <w:pPr>
              <w:jc w:val="both"/>
            </w:pPr>
            <w:r>
              <w:rPr>
                <w:rFonts w:ascii="Arial" w:hAnsi="Arial"/>
                <w:i/>
                <w:sz w:val="20"/>
              </w:rPr>
              <w:t>tab_produto_tenant (id, sku, ncm, descricao, tenant_id) → N:1 → tab_classificacao_fiscal_reforma (id, produto_id, cst_ibs, cst_cbs, cclasstrib, ccredpres, regime_especifico_id, vigencia_ini, vigencia_fim, fundamento_legal_id) → N:1 → tab_dispositivo_legal (artigo, paragrafo, inciso, anexo, lei).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7. Riscos da Classificação Incorreta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Autuação fiscal — IBS e CBS recolhidos a menor configuram débito tributário com multa de 75% a 225%.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Glosa de crédito presumido — uso indevido de cCredPres anula o crédito e gera passivo.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Rejeição da NF-e — código cClassTrib inválido ou inexistente bloqueia a emissão (regras de validação NT 2025.002).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Distorção competitiva — empresa que classifica errado pode subprecificar (gerando prejuízo) ou superprecificar (perdendo mercado).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Próximo Passo Sugerido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FF4E5"/>
          </w:tcPr>
          <w:p>
            <w:pPr>
              <w:jc w:val="both"/>
            </w:pPr>
            <w:r>
              <w:rPr>
                <w:rFonts w:ascii="Arial" w:hAnsi="Arial"/>
                <w:i/>
                <w:sz w:val="20"/>
              </w:rPr>
              <w:t>Avançar para o PT-002 (cClassTrib detalhado) e iniciar o levantamento da Matriz de Classificação do Mix de Produtos (vide /03_MATRIZES/MATRIZ_Classificacao_Mix_Produtos.xlsx).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Referências Bibliográficas e Links Oficiais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BRASIL. Lei Complementar nº 214, de 16 de janeiro de 2025. Disponível em: https://www.planalto.gov.br/ccivil_03/leis/lcp/lcp214.htm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BRASIL. Emenda Constitucional nº 132, de 20 de dezembro de 2023. Disponível em: https://www.planalto.gov.br/ccivil_03/constituicao/emendas/emc/emc132.htm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Portal Nacional da NF-e — Adequações IBS/CBS/IS. Disponível em: https://www.nfe.fazenda.gov.br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SVRS — Portal da Conformidade Fácil — Tabela de Classificação Tributária. Disponível em: https://dfe-portal.svrs.rs.gov.br/Cff/ClassificacaoTributaria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Ministério da Fazenda — Reforma Tributária. Disponível em: https://www.gov.br/fazenda/pt-br/acesso-a-informacao/acoes-e-programas/reforma-tributaria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Receita Federal — Comitê Gestor do IBS. Disponível em: https://www.gov.br/receitafederal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Informe Técnico RT 2025.002 v.1.40 — Tabelas cClassTrib, CST e cCredPres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Nota Técnica 2025.001 — NFCom — Adequações da Reforma Tributária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CONJUR — Aspectos Gerais da Reforma (EC 132 e LCP 214). https://www.conjur.com.br/2025-ago-21/aspectos-gerais-da-reforma-tributaria-ec-132-2023-e-lcp-214-2025/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TecnoSpeed — Tabela cClassTrib detalhada. https://blog.tecnospeed.com.br/tabela-cclasstrib/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