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  <w:color w:val="1F3A5F"/>
          <w:sz w:val="40"/>
        </w:rPr>
        <w:t>REFORMA TRIBUTÁRIA — CLASSIFICAÇÃO DO MIX DE PRODUTOS</w:t>
      </w:r>
    </w:p>
    <w:p>
      <w:r>
        <w:rPr>
          <w:rFonts w:ascii="Arial" w:hAnsi="Arial"/>
          <w:b/>
          <w:i w:val="0"/>
          <w:color w:val="2E5C8A"/>
          <w:sz w:val="28"/>
        </w:rPr>
        <w:t>Parecer Técnico PT-002</w:t>
      </w:r>
    </w:p>
    <w:p>
      <w:r>
        <w:rPr>
          <w:rFonts w:ascii="Arial" w:hAnsi="Arial"/>
          <w:b/>
          <w:i w:val="0"/>
          <w:sz w:val="32"/>
        </w:rPr>
        <w:t>cClassTrib — Código de Classificação Tributária IBS/CBS (NT 2025.002)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Campo</w:t>
            </w:r>
          </w:p>
        </w:tc>
        <w:tc>
          <w:tcPr>
            <w:tcW w:type="dxa" w:w="6803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Conteúdo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Código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PT-002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Título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cClassTrib — Código de Classificação Tributária IBS/CBS (NT 2025.002)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Perfil técnico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Arquiteto de Soluções Fiscais + Analista NF-e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Base normativa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EC 132/2023; LC 214/2025; NT 2025.002 NF-e/NFC-e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Vigência aplicável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2026-2033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Autor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Allan Marcio (mentoria: Claude — Arquiteto Tributário SaaS)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Data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27/04/2026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Projeto</w:t>
            </w:r>
          </w:p>
        </w:tc>
        <w:tc>
          <w:tcPr>
            <w:tcW w:type="dxa" w:w="6803"/>
          </w:tcPr>
          <w:p>
            <w:r/>
            <w:r>
              <w:rPr>
                <w:rFonts w:ascii="Arial" w:hAnsi="Arial"/>
                <w:sz w:val="18"/>
              </w:rPr>
              <w:t>014-SAAS_REFORMA / Tributiq / QualiClassIQ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F3A5F"/>
          <w:sz w:val="28"/>
        </w:rPr>
        <w:t>1. Resposta Direta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 cClassTrib é o novo Código de Classificação Tributária do IBS/CBS, criado pela Nota Técnica 2025.002 (versão atual 1.40) do Portal Nacional da NF-e. Cada código aponta diretamente para um dispositivo da LC 214/2025, eliminando ambiguidades sobre como o item está sendo tributado. É CAMPO OBRIGATÓRIO em NF-e/NFC-e/NFCom a partir de janeiro de 2026.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2. Estrutura do Código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O cClassTrib possui 6 dígitos numéricos. Os 3 primeiros dígitos coincidem com o CST IBS/CBS aplicável; os 3 últimos detalham a hipótese específica do dispositivo legal. Exemplo de leitura conceitual: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EAF2FA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cClassTrib = 200001  →  CST 200 (Alíquota Zero)  +  Sequencial 001 (cesta básica nacional, Anexo I LC 214)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3. Tabela Conceitual de Indicadores CST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CST</w:t>
            </w:r>
          </w:p>
        </w:tc>
        <w:tc>
          <w:tcPr>
            <w:tcW w:type="dxa" w:w="2268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Categoria</w:t>
            </w:r>
          </w:p>
        </w:tc>
        <w:tc>
          <w:tcPr>
            <w:tcW w:type="dxa" w:w="5953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000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Tributação Integral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/>
                <w:sz w:val="18"/>
              </w:rPr>
              <w:t>Operação tributada à alíquota padrão IBS+CBS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100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Tributação Reduzida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/>
                <w:sz w:val="18"/>
              </w:rPr>
              <w:t>Redução parcial (30%, 50%, 60%, 70%, 80%, 90%)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200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Alíquota Zero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/>
                <w:sz w:val="18"/>
              </w:rPr>
              <w:t>Item com alíquota zero (cesta básica, prouni, etc.)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300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Imune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/>
                <w:sz w:val="18"/>
              </w:rPr>
              <w:t>Imunidade constitucional (livros, templos, partidos)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400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Isento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/>
                <w:sz w:val="18"/>
              </w:rPr>
              <w:t>Isenção legal (não imune)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500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Diferimento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/>
                <w:sz w:val="18"/>
              </w:rPr>
              <w:t>IBS/CBS diferido para etapa posterior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550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Suspensão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/>
                <w:sz w:val="18"/>
              </w:rPr>
              <w:t>Saída com suspensão (ex: depósito, exportação)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600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Não Incidência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/>
                <w:sz w:val="18"/>
              </w:rPr>
              <w:t>Operações fora do campo de incidência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700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ICMS-ST/Equivalente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/>
                <w:sz w:val="18"/>
              </w:rPr>
              <w:t>Regimes específicos de substituição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800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Monofásica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/>
                <w:sz w:val="18"/>
              </w:rPr>
              <w:t>Tributação concentrada (combustíveis)</w:t>
            </w:r>
          </w:p>
        </w:tc>
      </w:tr>
      <w:tr>
        <w:tc>
          <w:tcPr>
            <w:tcW w:type="dxa" w:w="850"/>
          </w:tcPr>
          <w:p>
            <w:r/>
            <w:r>
              <w:rPr>
                <w:rFonts w:ascii="Arial" w:hAnsi="Arial"/>
                <w:sz w:val="18"/>
              </w:rPr>
              <w:t>900</w:t>
            </w:r>
          </w:p>
        </w:tc>
        <w:tc>
          <w:tcPr>
            <w:tcW w:type="dxa" w:w="2268"/>
          </w:tcPr>
          <w:p>
            <w:r/>
            <w:r>
              <w:rPr>
                <w:rFonts w:ascii="Arial" w:hAnsi="Arial"/>
                <w:sz w:val="18"/>
              </w:rPr>
              <w:t>Outros</w:t>
            </w:r>
          </w:p>
        </w:tc>
        <w:tc>
          <w:tcPr>
            <w:tcW w:type="dxa" w:w="5953"/>
          </w:tcPr>
          <w:p>
            <w:r/>
            <w:r>
              <w:rPr>
                <w:rFonts w:ascii="Arial" w:hAnsi="Arial"/>
                <w:sz w:val="18"/>
              </w:rPr>
              <w:t>Operações sob regime especial não classificado</w:t>
            </w:r>
          </w:p>
        </w:tc>
      </w:tr>
    </w:tbl>
    <w:p>
      <w:pPr>
        <w:jc w:val="both"/>
      </w:pPr>
      <w:r>
        <w:rPr>
          <w:rFonts w:ascii="Arial" w:hAnsi="Arial"/>
          <w:b w:val="0"/>
          <w:i/>
          <w:sz w:val="20"/>
        </w:rPr>
        <w:t>Atenção: a lista oficial de CSTs vigente possui 18 códigos detalhados na NT 2025.002 v.1.40. Os agrupadores acima são conceituais para facilitar a memorização.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4. Exemplos de cClassTrib (referencial)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cClassTrib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Descrição</w:t>
            </w:r>
          </w:p>
        </w:tc>
        <w:tc>
          <w:tcPr>
            <w:tcW w:type="dxa" w:w="1984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Dispositivo LC 214</w:t>
            </w:r>
          </w:p>
        </w:tc>
        <w:tc>
          <w:tcPr>
            <w:tcW w:type="dxa" w:w="2835"/>
            <w:shd w:val="clear" w:color="auto" w:fill="1F3A5F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Aplicação típica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000001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Operação tributada padrão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Art. 9º a 12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Venda padrão de mercadoria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100110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Redução 60% — saúde (medicamentos)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Art. 128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Farmácias, distribuidoras, hospitais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100130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Redução 60% — educação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Art. 127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Mensalidades de escolas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100160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Redução 30% — profissionais regulamentados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Art. 126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Advogados, médicos PJ, contadores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200010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Alíquota Zero — Cesta Básica Anexo I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Art. 125 + Anexo I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Arroz, feijão, leite, etc.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200020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Alíquota Zero — Prouni/PRONAS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Art. 130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Bolsa universitária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400010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Isenção — Reporto/Repetro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Art. 350+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Setor portuário/petróleo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Arial" w:hAnsi="Arial"/>
                <w:sz w:val="18"/>
              </w:rPr>
              <w:t>800010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Monofásica — Combustíveis</w:t>
            </w:r>
          </w:p>
        </w:tc>
        <w:tc>
          <w:tcPr>
            <w:tcW w:type="dxa" w:w="1984"/>
          </w:tcPr>
          <w:p>
            <w:r/>
            <w:r>
              <w:rPr>
                <w:rFonts w:ascii="Arial" w:hAnsi="Arial"/>
                <w:sz w:val="18"/>
              </w:rPr>
              <w:t>Art. 169 a 179</w:t>
            </w:r>
          </w:p>
        </w:tc>
        <w:tc>
          <w:tcPr>
            <w:tcW w:type="dxa" w:w="2835"/>
          </w:tcPr>
          <w:p>
            <w:r/>
            <w:r>
              <w:rPr>
                <w:rFonts w:ascii="Arial" w:hAnsi="Arial"/>
                <w:sz w:val="18"/>
              </w:rPr>
              <w:t>Gasolina, diesel, etanol combustível</w:t>
            </w:r>
          </w:p>
        </w:tc>
      </w:tr>
    </w:tbl>
    <w:p>
      <w:pPr>
        <w:jc w:val="both"/>
      </w:pPr>
      <w:r>
        <w:rPr>
          <w:rFonts w:ascii="Arial" w:hAnsi="Arial"/>
          <w:b w:val="0"/>
          <w:i/>
          <w:color w:val="C0392B"/>
          <w:sz w:val="20"/>
        </w:rPr>
        <w:t>Os códigos acima são REFERENCIAIS, baseados na estrutura da NT 2025.002. A tabela oficial deve ser sempre consultada no Portal Nacional da NF-e.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5. Onde Obter a Tabela Oficial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Portal Nacional da NF-e → aba Documentos → Diversos: https://www.nfe.fazenda.gov.br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Portal SVRS Conformidade Fácil: https://dfe-portal.svrs.rs.gov.br/Cff/ClassificacaoTributaria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API REST oficial: https://cff.svrs.rs.gov.br/api/v1/consultas/classTrib (autenticação ICP-Brasil)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Download em CSV/JSON: disponível na aba Documentos do Portal SVRS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6. Validação Estrutural na NF-e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A NT 2025.002 v.1.40 prevê regras de validação que rejeitam a NF-e quando: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cClassTrib informado não consta na tabela oficial vigente.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cClassTrib é incompatível com o CST informado (primeiros 3 dígitos diferentes).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cClassTrib indica regime específico (ex: 800xxx — combustíveis) e o NCM informado não pertence à lista oficial.</w:t>
      </w:r>
    </w:p>
    <w:p>
      <w:pPr>
        <w:pStyle w:val="ListBullet"/>
        <w:ind w:left="340"/>
      </w:pPr>
      <w:r>
        <w:rPr>
          <w:rFonts w:ascii="Arial" w:hAnsi="Arial"/>
          <w:sz w:val="22"/>
        </w:rPr>
        <w:t>cCredPres informado não é compatível com o cClassTrib utilizado.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7. Implementação Recomendada (visão SaaS)</w:t>
      </w:r>
    </w:p>
    <w:p>
      <w:pPr>
        <w:jc w:val="both"/>
      </w:pPr>
      <w:r>
        <w:rPr>
          <w:rFonts w:ascii="Arial" w:hAnsi="Arial"/>
          <w:b w:val="0"/>
          <w:i w:val="0"/>
          <w:sz w:val="22"/>
        </w:rPr>
        <w:t>Para o QualiClassIQ, recomenda-se que a tabela cClassTrib seja sincronizada diariamente via Edge Function do Supabase, que consulta o endpoint oficial e materializa a tabela em uma view RLS-protegida. Cada item do mix do tenant deve ter UM cClassTrib vigente por janela temporal — modelo bitemporal (válido_de/válido_até) permite reconstituir a classificação histórica para auditoria.</w:t>
      </w:r>
    </w:p>
    <w:p>
      <w:pPr>
        <w:pStyle w:val="Heading1"/>
      </w:pPr>
      <w:r>
        <w:rPr>
          <w:rFonts w:ascii="Arial" w:hAnsi="Arial"/>
          <w:color w:val="1F3A5F"/>
          <w:sz w:val="28"/>
        </w:rPr>
        <w:t>Próximo Passo Sugerido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1"/>
            <w:shd w:val="clear" w:color="auto" w:fill="FFF4E5"/>
          </w:tcPr>
          <w:p>
            <w:pPr>
              <w:jc w:val="both"/>
            </w:pPr>
            <w:r>
              <w:rPr>
                <w:rFonts w:ascii="Arial" w:hAnsi="Arial"/>
                <w:i/>
                <w:sz w:val="20"/>
              </w:rPr>
              <w:t>Mapear todos os SKUs do mix para o cClassTrib correto (ver MATRIZ_Classificacao_Mix_Produtos.xlsx). Implementar serviço de sincronização da tabela oficial em janela diária.</w:t>
            </w:r>
          </w:p>
        </w:tc>
      </w:tr>
    </w:tbl>
    <w:p>
      <w:pPr>
        <w:pStyle w:val="Heading1"/>
      </w:pPr>
      <w:r>
        <w:rPr>
          <w:rFonts w:ascii="Arial" w:hAnsi="Arial"/>
          <w:color w:val="1F3A5F"/>
          <w:sz w:val="28"/>
        </w:rPr>
        <w:t>Referências Bibliográficas e Links Oficiais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Lei Complementar nº 214, de 16 de janeiro de 2025. Disponível em: https://www.planalto.gov.br/ccivil_03/leis/lcp/lcp214.htm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BRASIL. Emenda Constitucional nº 132, de 20 de dezembro de 2023. Disponível em: https://www.planalto.gov.br/ccivil_03/constituicao/emendas/emc/emc132.htm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Portal Nacional da NF-e — Adequações IBS/CBS/IS. Disponível em: https://www.nfe.fazenda.gov.br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SVRS — Portal da Conformidade Fácil — Tabela de Classificação Tributária. Disponível em: https://dfe-portal.svrs.rs.gov.br/Cff/ClassificacaoTributaria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Ministério da Fazenda — Reforma Tributária. Disponível em: https://www.gov.br/fazenda/pt-br/acesso-a-informacao/acoes-e-programas/reforma-tributaria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Receita Federal — Comitê Gestor do IBS. Disponível em: https://www.gov.br/receitafederal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Informe Técnico RT 2025.002 v.1.40 — Tabelas cClassTrib, CST e cCredPres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Nota Técnica 2025.001 — NFCom — Adequações da Reforma Tributária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CONJUR — Aspectos Gerais da Reforma (EC 132 e LCP 214). https://www.conjur.com.br/2025-ago-21/aspectos-gerais-da-reforma-tributaria-ec-132-2023-e-lcp-214-2025/</w:t>
      </w:r>
    </w:p>
    <w:p>
      <w:pPr>
        <w:pStyle w:val="ListBullet"/>
        <w:ind w:left="340"/>
      </w:pPr>
      <w:r>
        <w:rPr>
          <w:rFonts w:ascii="Arial" w:hAnsi="Arial"/>
          <w:sz w:val="20"/>
        </w:rPr>
        <w:t>TecnoSpeed — Tabela cClassTrib detalhada. https://blog.tecnospeed.com.br/tabela-cclasstrib/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