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PT-003</w:t>
      </w:r>
    </w:p>
    <w:p>
      <w:r>
        <w:rPr>
          <w:rFonts w:ascii="Arial" w:hAnsi="Arial"/>
          <w:b/>
          <w:i w:val="0"/>
          <w:sz w:val="32"/>
        </w:rPr>
        <w:t>NCM e a Classificação Fiscal de Mercadorias na Reforma Tributária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NCM e a Classificação Fiscal de Mercadorias na Reforma Tributária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Contador Tributarista + Especialista em Comércio Exterior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NCM (Nomenclatura Comum do Mercosul) PERMANECE OBRIGATÓRIA com a Reforma Tributária, mas seu papel é redimensionado: deixa de ser o principal vetor de tributação (como ocorria com IPI/ICMS-ST) e passa a ser o CHAVE DE ENQUADRAMENTO em anexos, regimes específicos e listas de exceção da LC 214/2025. Errar a NCM hoje significa errar simultaneamente IBS, CBS, IS e cClassTrib.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Fundamentação Histórica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NCM é baseada no Sistema Harmonizado (SH) da Organização Mundial das Alfândegas (OMA). No Brasil, ela é mantida pela Receita Federal e atualizada por Resoluções da CAMEX. Contém 8 dígitos: Capítulo (2 dígitos) + Posição (2 dígitos) + Subposição (2 dígitos) + Item nacional (2 dígitos).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Exemplo: NCM 1905.31.00 = Capítulo 19 (Preparações alimentícias) → Posição 1905 (Produtos de padaria) → Subposição 1905.31 (Biscoitos com adição de edulcorantes) → Item 00 (sem desdobramento nacional).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3. Por que a NCM se Tornou MAIS Estratégica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Os anexos da LC 214/2025 são vinculados diretamente a NCMs específicas. Erro de NCM → erro de enquadramento → tributação errada. Lista dos principais anexos: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Anexo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Tema</w:t>
            </w:r>
          </w:p>
        </w:tc>
        <w:tc>
          <w:tcPr>
            <w:tcW w:type="dxa" w:w="3969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Tratamento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Cesta Básica Nacional (alimentos)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Alíquota zero IBS+CBS (26 produtos)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XV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Hortícolas, frutas e ovos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Alíquota zero IBS+CBS (6 produtos)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II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Alimentos com redução 60%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Redução de 60% das alíquotas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III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Higiene pessoal essencial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Redução de 60% das alíquotas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IV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Medicamentos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Redução 60% (alguns alíquota zero — programas)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V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Dispositivos médicos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Redução de 60%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VI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Dispositivos de acessibilidade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Redução de 60% (PcD)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VII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Insumos agropecuários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Redução de 60%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VIII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Produtos hortícolas/frutas com redução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Redução de 60% (intermediário)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XII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Imposto Seletivo — bens prejudiciais</w:t>
            </w:r>
          </w:p>
        </w:tc>
        <w:tc>
          <w:tcPr>
            <w:tcW w:type="dxa" w:w="3969"/>
          </w:tcPr>
          <w:p>
            <w:r/>
            <w:r>
              <w:rPr>
                <w:rFonts w:ascii="Arial" w:hAnsi="Arial"/>
                <w:sz w:val="18"/>
              </w:rPr>
              <w:t>IS específico por NCM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4. Atenção: A NCM NÃO Define Sozinha o cClassTrib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Conforme orientação do Comitê Gestor do IBS, NÃO existe correspondência 1:1 entre NCM e cClassTrib. A classificação depende de uma leitura contextual: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69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Pergunta</w:t>
            </w:r>
          </w:p>
        </w:tc>
        <w:tc>
          <w:tcPr>
            <w:tcW w:type="dxa" w:w="3402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Qual a natureza da operação? (venda, transferência, devolução, bonificação, remessa)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Determina cClassTrib específico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O destinatário é PJ contribuinte ou consumidor final?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Pode ativar regimes específicos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É operação interestadual? UF de origem/destino tem regime próprio?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Aplicação de alíquotas estaduais do IBS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O produto está em algum programa especial (Repetro, Reporto, Recap, ZFM)?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Tratamento diferenciado</w:t>
            </w:r>
          </w:p>
        </w:tc>
      </w:tr>
      <w:tr>
        <w:tc>
          <w:tcPr>
            <w:tcW w:type="dxa" w:w="5669"/>
          </w:tcPr>
          <w:p>
            <w:r/>
            <w:r>
              <w:rPr>
                <w:rFonts w:ascii="Arial" w:hAnsi="Arial"/>
                <w:sz w:val="18"/>
              </w:rPr>
              <w:t>Há regime de substituição ou monofásico?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sz w:val="18"/>
              </w:rPr>
              <w:t>Pode anular a regra geral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5. Exemplo Prático — Mesmo NCM, Tratamentos Distintos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NCM 3004.90.69 (medicamentos genéricos):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Venda hospitalar (saúde) → cClassTrib redução 60% (Art. 128 LC 214) → CST 100110.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Venda B2B atacadista para revenda → cClassTrib alíquota integral → CST 000001.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Item incluído no Programa Farmácia Popular → cClassTrib alíquota zero → CST 200xxx.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Transferência interfilial → cClassTrib específico de transferência (mantém crédito).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Governança de NCM no ERP (Winthor / SaaS)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Recomenda-se um processo formal mensal de revisão de NCM com participação de: (i) compras, (ii) fiscal, (iii) cadastro. No Winthor, a NCM é mantida no PCPRODUT (campo NCM). No QualiClassIQ proposto, sugere-se: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Tabela tab_ncm com versionamento (vigencia_de/vigencia_ate) sincronizada via TIPI/CAMEX.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Job que confronta NCMs do tenant contra anexos da LC 214 e sinaliza divergências.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Workflow de aprovação de NCM com trilha de auditoria (RLS no Supabase).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Integração com Solução de Consulta da RFB para casos limítrofes.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Executar o checklist CL-001 sobre o mix completo, focando primeiro nos NCMs que aparecem nos Anexos I, IV e XV da LC 214 (cesta básica e medicamentos).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TIPI — Tabela de Incidência do IPI.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CAMEX — Resoluções de NCM. https://www.gov.br/camex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OMA — Sistema Harmonizado. https://www.wcoomd.org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