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PT-004</w:t>
      </w:r>
    </w:p>
    <w:p>
      <w:r>
        <w:rPr>
          <w:rFonts w:ascii="Arial" w:hAnsi="Arial"/>
          <w:b/>
          <w:i w:val="0"/>
          <w:sz w:val="32"/>
        </w:rPr>
        <w:t>CST IBS/CBS versus CST PIS/COFINS — Diferenças, Mapeamento e Plano de Migração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CST IBS/CBS versus CST PIS/COFINS — Diferenças, Mapeamento e Plano de Migração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Analista Fiscal Senior + Arquiteto de Migração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Os atuais CSTs de PIS/COFINS (tabela com aproximadamente 50 códigos: 01, 02, 03, ..., 99) e os CSTs de ICMS (00, 10, 20, 30, 40, 41, 50, 51, 60, 70, 90 + tributação por ST) NÃO migram automaticamente para o CST IBS/CBS. A nova tabela é estruturada em 18 códigos de 3 dígitos com lógica conceitual diferente, exigindo um mapeamento de-para baseado na natureza da operação (e não no código antigo).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Tabela Comparativa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CST PIS/COFINS atual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CST ICMS atual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CST IBS/CBS (Reforma)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Dígitos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 ou 3 (com origem)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Quantidade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≈50 códigos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≈11 + variantes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18 oficiais (NT 2025.002)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Vinculação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Cada cód = situação única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Cada cód = situação única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Cód CST + cClassTrib (composto)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Crédito presumido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Tabela específica anexa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Não aplicável (ICMS)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cCredPres separado (13 códigos)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Lógica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Centrada no regime (cumulativo/não cumul)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Centrada na origem da mercadoria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Centrada no dispositivo da LC 214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3. Mapeamento de-para Conceitual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Operação atual (PIS/COFINS/ICMS)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Equivalente IBS/CBS (Reforma)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01/02 (tributação padrão) + ICMS 00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000 + cClassTrib 000001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06 (alíquota zero PIS/COFINS) + ICMS 40 isento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200 + cClassTrib do anexo aplicável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04 (monofásica)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800 (monofásica) + cClassTrib específico do produto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05 (substituição tributária PIS/COFINS)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700 (regimes específicos)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08 (suspensão)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CST 550 + cClassTrib de suspensão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ICMS 60 (substituição) + PIS/COFINS tributados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Não há ST genérica → tributação direta CST 000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O Que Muda na Prática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Substituição Tributária do ICMS (CST 60) DEIXA DE EXISTIR como regra geral — a Reforma adota tributação no destino com split payment.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PIS/COFINS monofásico (combustíveis, bebidas frias, autopeças, medicamentos) é REVISTO — alguns permanecem monofásicos (combustíveis), outros voltam para regra geral.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Crédito presumido genérico (CST 99) é REESTRUTURADO — agora há tabela cCredPres com 13 hipóteses.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Imunidade e Isenção ganham campos próprios na NT 2025.002 (CST 300 e CST 400).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Plano de Migração para o ERP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Para o Winthor (e similares), recomenda-se um cronograma em 4 fases: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56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Atividades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F1 — Diagnóstico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Q1/2026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Mapeamento de todos os CSTs PIS/COFINS/ICMS atuais; identificação de SKUs por CST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F2 — De-para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Q2/2026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Construção da tabela de equivalência CST atual → CST IBS/CBS + cClassTrib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F3 — Paralelo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2026 (ano teste)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Emissão da NF-e com CST atual + CST IBS/CBS simultaneamente (alíquotas 0,9% CBS / 0,1% IBS)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F4 — Cutover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Janeiro/2027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PIS/COFINS extintos; CBS plena. ICMS/ISS continuam reduzindo até 2033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6. Riscos no Mapeamento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Mapear apenas pelo CST antigo (sem reanalisar a operação) gera erros sistêmicos.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Combinações 'CST atual + NCM' que hoje recebem tratamento ST podem perder esse tratamento.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Regimes especiais (Reporto, Repetro, ZFM) têm migração própria — não usar a tabela genérica.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Saídas para consumidor final mudam de natureza (split payment torna a apuração diferente).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Executar a planilha MATRIZ_Classificacao_Mix_Produtos.xlsx, aba 'De-Para CST', carregando todos os CSTs atualmente utilizados pela empresa.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