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3A5F"/>
          <w:sz w:val="40"/>
        </w:rPr>
        <w:t>REFORMA TRIBUTÁRIA — CLASSIFICAÇÃO DO MIX DE PRODUTOS</w:t>
      </w:r>
    </w:p>
    <w:p>
      <w:r>
        <w:rPr>
          <w:rFonts w:ascii="Arial" w:hAnsi="Arial"/>
          <w:b/>
          <w:i w:val="0"/>
          <w:color w:val="2E5C8A"/>
          <w:sz w:val="28"/>
        </w:rPr>
        <w:t>Parecer Técnico PT-005</w:t>
      </w:r>
    </w:p>
    <w:p>
      <w:r>
        <w:rPr>
          <w:rFonts w:ascii="Arial" w:hAnsi="Arial"/>
          <w:b/>
          <w:i w:val="0"/>
          <w:sz w:val="32"/>
        </w:rPr>
        <w:t>Regimes Específicos e Diferenciados de IBS e CBS — LC 214/2025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803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Código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PT-005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Título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Regimes Específicos e Diferenciados de IBS e CBS — LC 214/2025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Perfil técnico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Consultor Tributarista Senior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Base normativa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EC 132/2023; LC 214/2025; NT 2025.002 NF-e/NFC-e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Vigência aplicável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2026-2033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Autor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Allan Marcio (mentoria: Claude — Arquiteto Tributário SaaS)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Data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27/04/2026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Projeto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014-SAAS_REFORMA / Tributiq / QualiClassIQ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3A5F"/>
          <w:sz w:val="28"/>
        </w:rPr>
        <w:t>1. Resposta Direta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 LC 214/2025 institui DOIS conceitos distintos: REGIMES ESPECÍFICOS (Título V) — setores que NÃO seguem a regra geral de IBS/CBS — e REGIMES DIFERENCIADOS (arts. 126 a 134 e 143) — bens/serviços com redução de alíquota (30% ou 60%) ou alíquota zero. Toda classificação do mix DEVE primeiro verificar se cai em regime específico antes de aplicar regra geral.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2. Regimes Específicos (Título V)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São setores com tratamento distinto da regra geral devido à complexidade operacional ou à natureza do bem: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Regime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Capítulo LC 214</w:t>
            </w:r>
          </w:p>
        </w:tc>
        <w:tc>
          <w:tcPr>
            <w:tcW w:type="dxa" w:w="4535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Características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Combustíveis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Cap. I, Tít. V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Monofásico, alíquota uniforme nacional, específica por unidade de medida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Sistema Financeiro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Cap. II, Tít. V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Alíquota reduzida sobre receita de juros e tarifas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Planos de Saúde / Assistência Médica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Cap. III, Tít. V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Cumulativo; alíquota reduzida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Concursos de prognósticos / Loterias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Cap. IV, Tít. V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Base de cálculo é a receita líquida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Fundos de Investimento e Operações de Capital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Cap. V, Tít. V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Não incidência ou tratamento diferenciado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Bens imóveis (locação, arrendamento)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Cap. VI, Tít. V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Alíquota reduzida + crédito limitado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Serviços de hotelaria, parques, agências de turismo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Cap. VII, Tít. V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Alíquota reduzida (40%)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Restaurantes, bares e similares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Cap. VIII, Tít. V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Redução 40% alíquota; sem crédito amplo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Cooperativas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Cap. IX, Tít. V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Não incidência nas operações com associados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Sociedade Esportiva (SAF)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Cap. X, Tít. V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Tratamento substitutivo simplificado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3. Regimes Diferenciados (arts. 126 a 134 e 143)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São listas de bens e serviços essenciais que recebem REDUÇÃO PERCENTUAL da alíquota padrão: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Redução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Setores / Bens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Base Legal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CST aplicável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30%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Profissões intelectuais regulamentadas (advogados, médicos PJ, contadores, arquitetos)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Art. 126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100 (alíquota reduzida)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40%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Hospedagem, eventos, parques, restaurantes (regimes específicos próprios)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Cap. VII e VIII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100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60%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Serviços de saúde, dispositivos médicos, medicamentos, educação, transporte coletivo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Arts. 127, 128, 129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100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60%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Insumos agropecuários, produtos de higiene pessoal essenciais, alimentos não-cesta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Arts. 130, 131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100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100% (zero)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Cesta Básica Nacional (Anexos I e XV); Prouni; programas sociais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Arts. 125, 130, 143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200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4. Atenção — Atualização Periódica dos Anexos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 LC 214/2025 atribuiu competência ao Ministério da Fazenda e ao Comitê Gestor do IBS para revisão dos Anexos IV, V e VI a cada 120 dias. Isso significa que medicamentos, dispositivos médicos e dispositivos de acessibilidade podem ENTRAR ou SAIR da redução de 60% trimestralmente. O sistema de classificação do mix deve, portanto, ser BITEMPORAL.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AF2FA"/>
          </w:tcPr>
          <w:p>
            <w:pPr>
              <w:jc w:val="both"/>
            </w:pPr>
            <w:r>
              <w:rPr>
                <w:rFonts w:ascii="Arial" w:hAnsi="Arial"/>
                <w:i/>
                <w:sz w:val="20"/>
              </w:rPr>
              <w:t>Implementação SaaS: tabela tab_anexos_lc214(anexo, ncm, item, vigencia_de, vigencia_ate, fundamento) atualizada por Edge Function que monitora portal do Comitê Gestor.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5. Exemplo Prático — Distribuidora de Materiais Hospitalares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Considere uma distribuidora com 10 mil SKUs: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Medicamentos (NCM 3004.xx) → redução 60% (Art. 128) → CST 100, cClassTrib 100110.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Material de higiene hospitalar (NCM 3401.xx, 3402.xx) → verificar se está no Anexo III (redução 60%).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Equipamentos médicos (NCM 9018.xx) → Anexo V → redução 60% (art. 128).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Cadeira de rodas (NCM 8713.xx) → Anexo VI → redução 60% (acessibilidade).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Materiais de escritório (NCM 4820.xx) → tributação INTEGRAL (não está em anexo).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Conclusão: uma única empresa pode ter quatro tratamentos distintos coexistindo no mesmo CFOP, demonstrando a complexidade operacional pós-Reforma.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6. Modelagem de Decisão (decision tree)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AF2FA"/>
          </w:tcPr>
          <w:p>
            <w:pPr>
              <w:jc w:val="both"/>
            </w:pPr>
            <w:r>
              <w:rPr>
                <w:rFonts w:ascii="Arial" w:hAnsi="Arial"/>
                <w:i/>
                <w:sz w:val="20"/>
              </w:rPr>
              <w:t>1. SKU está em Anexo XII (Imposto Seletivo)? → SIM: cClassTrib IS específico + IBS/CBS regra geral. 2. SKU está em algum Regime Específico (Tít. V)? → SIM: aplicar regime. 3. SKU está em Anexo I ou XV (alíquota zero)? → SIM: CST 200 + cClassTrib zero. 4. SKU está nos Anexos II a IX (redução)? → SIM: CST 100 + cClassTrib reduzido. 5. Caso contrário → tributação INTEGRAL (CST 000 + cClassTrib 000001).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Próximo Passo Sugerido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FF4E5"/>
          </w:tcPr>
          <w:p>
            <w:pPr>
              <w:jc w:val="both"/>
            </w:pPr>
            <w:r>
              <w:rPr>
                <w:rFonts w:ascii="Arial" w:hAnsi="Arial"/>
                <w:i/>
                <w:sz w:val="20"/>
              </w:rPr>
              <w:t>Implementar a árvore de decisão acima como componente do QualiClassIQ. Validar com amostragem de 100 SKUs do mix do tenant piloto.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Referências Bibliográficas e Links Oficiais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BRASIL. Lei Complementar nº 214, de 16 de janeiro de 2025. Disponível em: https://www.planalto.gov.br/ccivil_03/leis/lcp/lcp214.htm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BRASIL. Emenda Constitucional nº 132, de 20 de dezembro de 2023. Disponível em: https://www.planalto.gov.br/ccivil_03/constituicao/emendas/emc/emc132.htm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Portal Nacional da NF-e — Adequações IBS/CBS/IS. Disponível em: https://www.nfe.fazenda.gov.br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SVRS — Portal da Conformidade Fácil — Tabela de Classificação Tributária. Disponível em: https://dfe-portal.svrs.rs.gov.br/Cff/ClassificacaoTributaria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Ministério da Fazenda — Reforma Tributária. Disponível em: https://www.gov.br/fazenda/pt-br/acesso-a-informacao/acoes-e-programas/reforma-tributaria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Receita Federal — Comitê Gestor do IBS. Disponível em: https://www.gov.br/receitafederal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Informe Técnico RT 2025.002 v.1.40 — Tabelas cClassTrib, CST e cCredPres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Nota Técnica 2025.001 — NFCom — Adequações da Reforma Tributária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CONJUR — Aspectos Gerais da Reforma (EC 132 e LCP 214). https://www.conjur.com.br/2025-ago-21/aspectos-gerais-da-reforma-tributaria-ec-132-2023-e-lcp-214-2025/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TecnoSpeed — Tabela cClassTrib detalhada. https://blog.tecnospeed.com.br/tabela-cclasstrib/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