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  <w:sz w:val="40"/>
        </w:rPr>
        <w:t>REFORMA TRIBUTÁRIA — CLASSIFICAÇÃO DO MIX DE PRODUTOS</w:t>
      </w:r>
    </w:p>
    <w:p>
      <w:r>
        <w:rPr>
          <w:rFonts w:ascii="Arial" w:hAnsi="Arial"/>
          <w:b/>
          <w:i w:val="0"/>
          <w:color w:val="2E5C8A"/>
          <w:sz w:val="28"/>
        </w:rPr>
        <w:t>Parecer Técnico PT-006</w:t>
      </w:r>
    </w:p>
    <w:p>
      <w:r>
        <w:rPr>
          <w:rFonts w:ascii="Arial" w:hAnsi="Arial"/>
          <w:b/>
          <w:i w:val="0"/>
          <w:sz w:val="32"/>
        </w:rPr>
        <w:t>Alíquotas IBS e CBS — Estrutura, Reduções e Cronograma de Vigência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Código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PT-006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Alíquotas IBS e CBS — Estrutura, Reduções e Cronograma de Vigência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Perfil técnico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Arquiteto Tributário SaaS + Economista Fiscal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Base normativa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EC 132/2023; LC 214/2025; NT 2025.002 NF-e/NFC-e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Vigência aplicável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2026-2033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Autor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Allan Marcio (mentoria: Claude — Arquiteto Tributário SaaS)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27/04/2026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Projeto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014-SAAS_REFORMA / Tributiq / QualiClassIQ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  <w:sz w:val="28"/>
        </w:rPr>
        <w:t>1. Resposta Direta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alíquota total da Reforma (CBS + IBS) terá padrão estimado de aproximadamente 26,5% a 27,5%, sendo 8,8% a 9,3% de CBS (federal) + 17,7% a 18,2% de IBS (estadual + municipal). A LC 214/2025 prevê uma ALÍQUOTA DE REFERÊNCIA NACIONAL com possibilidade de adoção de alíquotas próprias por estado/município dentro de uma faixa. As REDUÇÕES (30%, 40%, 60% ou 100% — alíquota zero) incidem sobre essas alíquotas de referência.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2. Cronograma de Alíquotas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680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Ano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CBS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IBS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Soma teste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PIS/COFINS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ICMS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ISS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2026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0,9% (teste)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0,1% (teste)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1,0%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Plenos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2027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Alíq. plena (~9%)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0,1%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~9,1%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Extintos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 (mantém ZFM)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2028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Plena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0,1%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Plena+0,1%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2029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Plena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10% da alíq IBS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Plena+1,8%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Reduz 10%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Reduz 10%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2030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Plena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20% da alíq IBS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Plena+3,6%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Reduz 20%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Reduz 20%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2031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Plena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30% da alíq IBS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Plena+5,4%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Reduz 30%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Reduz 30%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2032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Plena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40% da alíq IBS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Plena+7,2%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Reduz 40%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Reduz 40%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Pleno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2033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Plena (~9%)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Plena (~18%)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~27%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EXTINTO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EXTINTO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Zero (exc. ZFM)</w:t>
            </w:r>
          </w:p>
        </w:tc>
      </w:tr>
    </w:tbl>
    <w:p>
      <w:pPr>
        <w:jc w:val="both"/>
      </w:pPr>
      <w:r>
        <w:rPr>
          <w:rFonts w:ascii="Arial" w:hAnsi="Arial"/>
          <w:b w:val="0"/>
          <w:i/>
          <w:sz w:val="18"/>
        </w:rPr>
        <w:t>Valores estimativos. As alíquotas definitivas serão fixadas por resolução do Senado Federal e Comitê Gestor do IBS. Cada UF/Município poderá adotar alíquotas próprias dentro de margem prevista.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3. Estrutura da Alíquota Composta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AF2FA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Alíquota Total = CBS(Federal) + IBS_Estado(UF) + IBS_Municipio(Mun)</w:t>
              <w:br/>
              <w:t>Exemplo (estimativa 2033): 9,0% + 12,0% + 6,0% = 27,0%</w:t>
              <w:br/>
              <w:t>Operação interestadual: aplica-se IBS_Estado e IBS_Municipio do DESTINO (princípio do destino).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4. Reduções e Como se Calculam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redução percentual incide sobre a alíquota total (CBS + IBS). Exemplo numérico: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Alíquota base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% Redução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Alíquota efetiva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Tributação integral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27,0%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0%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Profissão regulamentada (Art.126)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27,0%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30%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18,9%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Hotelaria/restaurante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27,0%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40%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16,2%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Saúde/educação/medicamentos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27,0%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60%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10,8%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Cesta básica nacional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27,0%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0,0%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5. Cashback (Devolução para Baixa Renda)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Famílias inscritas no CadÚnico com renda per capita até meio salário mínimo recebem CASHBACK de: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100% da CBS sobre energia elétrica, água/esgoto, gás de cozinha (botijão), telecomunicações.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Pelo menos 20% do IBS sobre os mesmos itens (estados/municípios podem ampliar).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20% da CBS e 20% do IBS sobre demais aquisições.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 cashback ocorre via crédito automático no PIX cadastrado, processado mensalmente pelo Comitê Gestor.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6. Impacto na Precificação do Mix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Para cada SKU, o sistema deve calcular três cenários de alíquota efetiva: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Alíquota nominal (sem regime/redução).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Alíquota com redução aplicável (cClassTrib do regime diferenciado).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Alíquota efetiva pós-créditos (considerando cCredPres + créditos de entrada).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A diferença entre a alíquota nominal e a efetiva pode chegar a 27 pontos percentuais (caso da cesta básica), o que torna a classificação correta um vetor crítico de margem comercial.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Próximo Passo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4E5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Implementar simulador de alíquota efetiva no QualiClassIQ que considere os 3 cenários acima + o cronograma 2026-2033.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Referências Bibliográficas e Links Oficiais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Lei Complementar nº 214, de 16 de janeiro de 2025. Disponível em: https://www.planalto.gov.br/ccivil_03/leis/lcp/lcp214.htm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Emenda Constitucional nº 132, de 20 de dezembro de 2023. Disponível em: https://www.planalto.gov.br/ccivil_03/constituicao/emendas/emc/emc132.htm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Portal Nacional da NF-e — Adequações IBS/CBS/IS. Disponível em: https://www.nfe.fazenda.gov.br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SVRS — Portal da Conformidade Fácil — Tabela de Classificação Tributária. Disponível em: https://dfe-portal.svrs.rs.gov.br/Cff/ClassificacaoTributaria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Ministério da Fazenda — Reforma Tributária. Disponível em: https://www.gov.br/fazenda/pt-br/acesso-a-informacao/acoes-e-programas/reforma-tributaria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Receita Federal — Comitê Gestor do IBS. Disponível em: https://www.gov.br/receitafederal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Informe Técnico RT 2025.002 v.1.40 — Tabelas cClassTrib, CST e cCredPres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Nota Técnica 2025.001 — NFCom — Adequações da Reforma Tributária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CONJUR — Aspectos Gerais da Reforma (EC 132 e LCP 214). https://www.conjur.com.br/2025-ago-21/aspectos-gerais-da-reforma-tributaria-ec-132-2023-e-lcp-214-2025/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TecnoSpeed — Tabela cClassTrib detalhada. https://blog.tecnospeed.com.br/tabela-cclasstrib/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