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PT-009</w:t>
      </w:r>
    </w:p>
    <w:p>
      <w:r>
        <w:rPr>
          <w:rFonts w:ascii="Arial" w:hAnsi="Arial"/>
          <w:b/>
          <w:i w:val="0"/>
          <w:sz w:val="32"/>
        </w:rPr>
        <w:t>Crédito Presumido (cCredPres) e Não-Cumulatividade Plena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Crédito Presumido (cCredPres) e Não-Cumulatividade Plena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Contador Tributarista + Arquiteto de Apuração Fiscal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Reforma adota NÃO-CUMULATIVIDADE PLENA — todo IBS/CBS pago na cadeia anterior gera crédito, exceto despesas pessoais. Adicionalmente, a LC 214/2025 cria 13 hipóteses de CRÉDITO PRESUMIDO catalogadas em tabela própria (cCredPres) publicada pelo Comitê Gestor em 04/julho/2025. O cCredPres é OBRIGATÓRIO no XML da NF-e quando a operação se enquadra em uma das hipóteses.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Conceito de Não-Cumulatividade Plena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Diferentemente do PIS/COFINS atual (que tem regime cumulativo e não-cumulativo limitado) e do ICMS (crédito apenas sobre insumos físicos), o IBS/CBS adotam crédito sobre TUDO que estiver vinculado à atividade econômica, exceto: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Mão de obra (folha de salários — não há tributação, não gera crédito).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Despesas de uso pessoal de sócios e administradores.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Bens e serviços usados em atividades isentas/imunes (regra do estorno proporcional).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Despesas com brindes e mimos (não vinculadas à atividade-fim).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3. Tabela cCredPres — 13 Hipóteses Oficiais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Lista referencial conforme Informe Técnico 2025.002 v.1.40 (verificar versão vigente):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cCredPres</w:t>
            </w:r>
          </w:p>
        </w:tc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Hipótese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Base Legal LC 214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de produtor rural pessoa física não contribuinte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168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de cooperativa de produção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271 (cap. cooperativas)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da Zona Franca de Manaus (origem Sul/Sudeste)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445 (7,5%)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da Zona Franca de Manaus (demais regiões)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445 (13,5%)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Áreas de Livre Comércio (ALC)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445 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Bens da agricultura familiar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168 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Microgeração distribuída de energia (consumidor)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308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08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Resíduos e materiais recicláveis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173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09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de transportador autônomo de cargas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153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do MEI (transição)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41 §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CBS — Aquisições efetuadas por importador para comercialização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76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IBS — Aquisições por revendedores em regime de substituição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Cap. específico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4535"/>
          </w:tcPr>
          <w:p>
            <w:r/>
            <w:r>
              <w:rPr>
                <w:rFonts w:ascii="Arial" w:hAnsi="Arial"/>
                <w:sz w:val="18"/>
              </w:rPr>
              <w:t>Aquisições no biodiesel (cadeia do B100)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Art. 174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Estrutura do cCredPres no XML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&lt;infoCredPres&gt;</w:t>
              <w:br/>
              <w:t xml:space="preserve">  &lt;cCredPres&gt;03&lt;/cCredPres&gt;           &lt;!-- Código da hipótese --&gt;</w:t>
              <w:br/>
              <w:t xml:space="preserve">  &lt;pCredPres&gt;7.5&lt;/pCredPres&gt;          &lt;!-- Percentual aplicável --&gt;</w:t>
              <w:br/>
              <w:t xml:space="preserve">  &lt;vCredPres&gt;1500.00&lt;/vCredPres&gt;      &lt;!-- Valor calculado --&gt;</w:t>
              <w:br/>
              <w:t xml:space="preserve">  &lt;vCredPresCondSus&gt;0.00&lt;/vCredPresCondSus&gt;  &lt;!-- Crédito sob condição --&gt;</w:t>
              <w:br/>
              <w:t>&lt;/infoCredPres&gt;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5. Regras Críticas de Validação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cCredPres só pode ser informado quando o cClassTrib da operação for compatível.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Cada hipótese tem percentual e prazo próprios — alguns créditos prescrevem em 5 anos.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O vCredPres entra na escrituração fiscal e é objeto de auditoria pelo Comitê Gestor.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Glosa de cCredPres incorretamente utilizado gera passivo + multa.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A Nova Prescrição (LC 214/2025)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LC 214/2025 estabelece prazo de 5 anos para utilização do crédito (incluindo presumido), contados da data de aquisição. Saldo credor não utilizado dentro do quinquênio é PRESCRITO. Isso exige gestão ativa do saldo credor (job de monitoramento + ressarcimento via Comitê Gestor).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7. Aplicação Prática — Atacadista de Hortifrúti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Considere atacadista que adquire de produtor rural PF (não contribuinte) e revende ao varejo: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Compra de 1.000 caixas de tomate de produtor rural PF — aplica cCredPres 01 (art. 168).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Percentual presumido (referencial): 9% × valor da aquisição.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Esse crédito presumido COMPENSA débitos próprios de IBS/CBS na revenda.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Tomate (Anexo XV) tem alíquota zero na revenda → o crédito presumido vira saldo credor.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Saldo credor pode ser ressarcido em dinheiro pelo Comitê Gestor (mecanismo a regulamentar).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Listar todas as hipóteses em que a empresa adquire bens elegíveis a cCredPres. Implementar regra de cálculo automático no momento da escrituração de entrada.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cCredPres: https://blog.tecnospeed.com.br/tabela-de-credito-presumido-do-ibs-e-cbs/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Jornada Tributária — Prescrição IBS/CBS: https://jornadatributaria.com/um-dia-na-vida-de-um-empreendedor-e-ceo/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