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PT-010</w:t>
      </w:r>
    </w:p>
    <w:p>
      <w:r>
        <w:rPr>
          <w:rFonts w:ascii="Arial" w:hAnsi="Arial"/>
          <w:b/>
          <w:i w:val="0"/>
          <w:sz w:val="32"/>
        </w:rPr>
        <w:t>Operações Especiais — ZFM, Devoluções, Bonificações e Transferências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Operações Especiais — ZFM, Devoluções, Bonificações e Transferências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Analista Fiscal Senior + Especialista em Logística Tributária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Operações fora da venda padrão (transferências interfiliais, bonificações, devoluções, remessas e operações com a Zona Franca de Manaus) recebem cClassTrib específicos. A regra geral é PRESERVAR a natureza tributária do bem em sua origem; mas em devoluções e bonificações, há nuances que exigem atenção redobrada.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ZFM — Zona Franca de Manaus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ZFM teve seus benefícios PRESERVADOS pela LC 214/2025 até 2073, mas o modelo mudou: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Ao invés de isenção direta de IPI/ICMS, agora há ALÍQUOTA ZERO de IBS/CBS na entrada de bens nacionais (Art. 445).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Importações na ZFM — SUSPENSÃO de IBS/CBS para uso industrial.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Saídas da ZFM com produtos industrializados — geram crédito presumido para o adquirente: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 xml:space="preserve">  • 7,5% se origem Sul/Sudeste (exceto Espírito Santo) — cCredPres 03.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 xml:space="preserve">  • 13,5% se origem demais regiões + Espírito Santo — cCredPres 04.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 xml:space="preserve">  • CBS adicional: 6% (se IPI for zero a partir de 2027) ou 2% nos demais casos.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Devoluções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Conforme orientação atual do Comitê Gestor (NT 2025.002), NÃO há cClassTrib específico para devolução — a devolução PRESERVA a classificação da operação original: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Operação Original</w:t>
            </w:r>
          </w:p>
        </w:tc>
        <w:tc>
          <w:tcPr>
            <w:tcW w:type="dxa" w:w="51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Venda tributada (CST 000, cClassTrib 000001)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Devolução com mesmo CST 000 e cClassTrib 000001 (anula débito)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Venda alíquota zero (CST 200)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Devolução com CST 200 (sem efeito sobre débito)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Venda redução 60% (CST 100)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Devolução com mesmo CST 100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Venda IS aplicável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Devolução com IS — gera crédito do IS (passível de ressarcimento)</w:t>
            </w:r>
          </w:p>
        </w:tc>
      </w:tr>
    </w:tbl>
    <w:p>
      <w:pPr>
        <w:jc w:val="both"/>
      </w:pPr>
      <w:r>
        <w:rPr>
          <w:rFonts w:ascii="Arial" w:hAnsi="Arial"/>
          <w:b w:val="0"/>
          <w:i/>
          <w:sz w:val="20"/>
        </w:rPr>
        <w:t>Exceção: devolução parcial com diferença de NCM (caso o item devolvido tenha sido reclassificado no período) exige análise específica.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4. Bonificações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Há duas naturezas de bonificação na Reforma: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Natureza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Tratamento IBS/CBS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Bonificação comercial (vinculada à compra)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Desconto incondicional travestido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Reduz a base do principal — segue cClassTrib do principal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Bonificação não-comercial (brinde/amostra)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Operação autônoma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Tributação integral (CST 000) — gera débito próprio. cClassTrib próprio.</w:t>
            </w:r>
          </w:p>
        </w:tc>
      </w:tr>
    </w:tbl>
    <w:p>
      <w:pPr>
        <w:jc w:val="both"/>
      </w:pPr>
      <w:r>
        <w:rPr>
          <w:rFonts w:ascii="Arial" w:hAnsi="Arial"/>
          <w:b w:val="0"/>
          <w:i w:val="0"/>
          <w:color w:val="C0392B"/>
          <w:sz w:val="20"/>
        </w:rPr>
        <w:t>Risco: bonificações classificadas erroneamente como 'comerciais' quando são não-comerciais geram passivo tributário relevante (já é alvo histórico de fiscalizações).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Transferências Interfiliais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transferência entre estabelecimentos da MESMA empresa segue regra distinta: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É fato gerador do IBS (princípio do destino) — sai com débito, entra com crédito.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Para CBS, há controvérsia (a LC 214 sugere não incidência em transferências; aguarda regulamentação).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cClassTrib específico — utilizar grupo que indica 'transferência'.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Base de cálculo: valor de aquisição mais recente OU custo médio (a ser regulamentado).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Transferência interestadual: aplica IBS_UF de origem + crédito no destino.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Remessas (Comodato, Demonstração, Conserto)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Tipo de remessa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Tratamento na saída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Retorno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Comodato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Não-incidência (CST 600)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Não-incidência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Demonstração (até 30 dias)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Suspensão (CST 550)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Sem incidência se retornar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Conserto/industrialização sob encomenda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Suspensão (CST 550)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Tributa apenas valor agregado no retorno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Operações triangulares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Análise específica por tipo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Aplicar cClassTrib próprio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7. Operações Híbridas (Bem + Serviço)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Quando a operação envolve fornecimento de bem + prestação de serviço (ex: instalação de elevador), a Reforma elimina a antiga discussão ICMS x ISS. O fato gerador é UNO e a tributação segue: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Critério da preponderância — qual elemento é principal?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Se preponderante for o BEM: cClassTrib do bem.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Se preponderante for o SERVIÇO: cClassTrib do serviço.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Em alguns casos (construção civil), há regime específico próprio (Cap. VI Tít. V).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Mapear no Winthor todos os tipos de operação (transferência, bonificação, devolução, remessa) e atribuir o cClassTrib correto a cada CFOP utilizado pela empresa.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Migalhas — ZFM Reforma: https://www.migalhas.com.br/depeso/423449/reforma-tributaria-na-zfm--zona-franca-de-manaus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Contábeis — Devolução cClassTrib: https://www.contabeis.com.br/artigos/74828/devolucao-de-notas-fiscais-cst-e-cclasstrib-na-reforma-tributaria/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