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br/>
        <w:br/>
        <w:t>REFORMA TRIBUTÁRIA — CBS</w:t>
      </w:r>
    </w:p>
    <w:p>
      <w:pPr>
        <w:jc w:val="center"/>
      </w:pPr>
      <w:r>
        <w:rPr>
          <w:i/>
          <w:color w:val="595959"/>
          <w:sz w:val="26"/>
        </w:rPr>
        <w:t>Decreto nº 12.955, de 29 de abril de 2026</w:t>
      </w:r>
    </w:p>
    <w:p>
      <w:pPr>
        <w:jc w:val="center"/>
      </w:pPr>
      <w:r>
        <w:rPr>
          <w:b/>
          <w:color w:val="0B3D91"/>
          <w:sz w:val="56"/>
        </w:rPr>
        <w:br/>
        <w:br/>
        <w:t>Resumo Executivo do Decreto nº 12.955/2026</w:t>
        <w:br/>
      </w:r>
    </w:p>
    <w:p>
      <w:pPr>
        <w:jc w:val="center"/>
      </w:pPr>
      <w:r>
        <w:rPr>
          <w:color w:val="1F4E79"/>
          <w:sz w:val="28"/>
        </w:rPr>
        <w:t>Síntese técnica organizada por segmentos e assuntos</w:t>
      </w:r>
    </w:p>
    <w:p/>
    <w:p/>
    <w:p/>
    <w:p/>
    <w:p/>
    <w:p/>
    <w:tbl>
      <w:tblPr>
        <w:tblStyle w:val="LightShading-Accent1"/>
        <w:tblW w:type="auto" w:w="0"/>
        <w:tblLook w:firstColumn="1" w:firstRow="1" w:lastColumn="0" w:lastRow="0" w:noHBand="0" w:noVBand="1" w:val="04A0"/>
      </w:tblPr>
      <w:tblGrid>
        <w:gridCol w:w="4844"/>
        <w:gridCol w:w="4844"/>
      </w:tblGrid>
      <w:tr>
        <w:tc>
          <w:tcPr>
            <w:tcW w:type="dxa" w:w="4844"/>
          </w:tcPr>
          <w:p>
            <w:r>
              <w:rPr>
                <w:b/>
              </w:rPr>
              <w:t>Código do Documento</w:t>
            </w:r>
          </w:p>
        </w:tc>
        <w:tc>
          <w:tcPr>
            <w:tcW w:type="dxa" w:w="4844"/>
          </w:tcPr>
          <w:p>
            <w:r>
              <w:t>DOC-00-RESUMO</w:t>
            </w:r>
          </w:p>
        </w:tc>
      </w:tr>
      <w:tr>
        <w:tc>
          <w:tcPr>
            <w:tcW w:type="dxa" w:w="4844"/>
          </w:tcPr>
          <w:p>
            <w:r>
              <w:rPr>
                <w:b/>
              </w:rPr>
              <w:t>Data de Elaboração</w:t>
            </w:r>
          </w:p>
        </w:tc>
        <w:tc>
          <w:tcPr>
            <w:tcW w:type="dxa" w:w="4844"/>
          </w:tcPr>
          <w:p>
            <w:r>
              <w:t>30/04/2026</w:t>
            </w:r>
          </w:p>
        </w:tc>
      </w:tr>
      <w:tr>
        <w:tc>
          <w:tcPr>
            <w:tcW w:type="dxa" w:w="4844"/>
          </w:tcPr>
          <w:p>
            <w:r>
              <w:rPr>
                <w:b/>
              </w:rPr>
              <w:t>Autor Técnico</w:t>
            </w:r>
          </w:p>
        </w:tc>
        <w:tc>
          <w:tcPr>
            <w:tcW w:type="dxa" w:w="4844"/>
          </w:tcPr>
          <w:p>
            <w:r>
              <w:t>ALLAN MARCIO — Consultor Tributário Sênior</w:t>
            </w:r>
          </w:p>
        </w:tc>
      </w:tr>
      <w:tr>
        <w:tc>
          <w:tcPr>
            <w:tcW w:type="dxa" w:w="4844"/>
          </w:tcPr>
          <w:p>
            <w:r>
              <w:rPr>
                <w:b/>
              </w:rPr>
              <w:t>Base Normativa</w:t>
            </w:r>
          </w:p>
        </w:tc>
        <w:tc>
          <w:tcPr>
            <w:tcW w:type="dxa" w:w="4844"/>
          </w:tcPr>
          <w:p>
            <w:r>
              <w:t>LC 214/2025; Decreto nº 12.955/2026; EC 132/2023</w:t>
            </w:r>
          </w:p>
        </w:tc>
      </w:tr>
    </w:tbl>
    <w:p>
      <w:r>
        <w:br w:type="page"/>
      </w:r>
    </w:p>
    <w:p>
      <w:pPr>
        <w:spacing w:before="360" w:after="160"/>
      </w:pPr>
      <w:r>
        <w:rPr>
          <w:b/>
          <w:color w:val="0B3D91"/>
          <w:sz w:val="40"/>
        </w:rPr>
        <w:t>1. Contexto Normativo e Importância</w:t>
      </w:r>
    </w:p>
    <w:p>
      <w:pPr>
        <w:jc w:val="both"/>
      </w:pPr>
      <w:r>
        <w:rPr>
          <w:b w:val="0"/>
          <w:i w:val="0"/>
        </w:rPr>
        <w:t>O Decreto nº 12.955, de 29 de abril de 2026, publicado no DOU de 30 de abril de 2026 (Edição 80, Seção 1), regulamenta a Contribuição Social sobre Bens e Serviços (CBS), instituída pela Lei Complementar nº 214, de 16 de janeiro de 2025, no contexto da Reforma Tributária sobre o consumo aprovada pela Emenda Constitucional nº 132, de 20 de dezembro de 2023. Com 620 artigos distribuídos em 3 Livros e 5 Anexos, o decreto materializa o regime federal da CBS, tributo que substituirá a contribuição para o PIS/PASEP e a COFINS.</w:t>
      </w:r>
    </w:p>
    <w:p>
      <w:pPr>
        <w:jc w:val="both"/>
      </w:pPr>
      <w:r>
        <w:rPr>
          <w:b w:val="0"/>
          <w:i w:val="0"/>
        </w:rPr>
        <w:t>O regulamento é referência operacional indispensável para todos os contribuintes que apurarão a CBS no regime regular, bem como para optantes do Simples Nacional, produtores rurais, transportadores autônomos e demais sujeitos passivos. Sua leitura técnica deve ser combinada à LC 214/2025, à EC 132/2023 e aos atos conjuntos da RFB e do CGIBS, que continuarão sendo editados nos próximos meses para detalhar aspectos operacionais.</w:t>
      </w:r>
    </w:p>
    <w:tbl>
      <w:tblPr>
        <w:tblW w:type="auto" w:w="0"/>
        <w:tblLook w:firstColumn="1" w:firstRow="1" w:lastColumn="0" w:lastRow="0" w:noHBand="0" w:noVBand="1" w:val="04A0"/>
      </w:tblPr>
      <w:tblGrid>
        <w:gridCol w:w="9689"/>
      </w:tblGrid>
      <w:tr>
        <w:tc>
          <w:tcPr>
            <w:tcW w:type="dxa" w:w="9689"/>
            <w:shd w:val="clear" w:color="auto" w:fill="FFF2CC"/>
          </w:tcPr>
          <w:p>
            <w:r/>
            <w:r>
              <w:rPr>
                <w:b/>
                <w:sz w:val="20"/>
              </w:rPr>
              <w:t>⚠ ATENÇÃO</w:t>
            </w:r>
          </w:p>
          <w:p>
            <w:r>
              <w:rPr>
                <w:sz w:val="22"/>
              </w:rPr>
              <w:t>A CBS terá alíquota-teste de 0,9% durante todo o exercício de 2026, com dispensa de recolhimento mediante cumprimento das obrigações acessórias (art. 464 e art. 582). A partir de 2027, passa a ser exigida pela alíquota-padrão fixada por lei ordinária, vinculada à alíquota de referência calculada pelo TCU.</w:t>
            </w:r>
          </w:p>
        </w:tc>
      </w:tr>
    </w:tbl>
    <w:p/>
    <w:p>
      <w:pPr>
        <w:spacing w:before="360" w:after="160"/>
      </w:pPr>
      <w:r>
        <w:rPr>
          <w:b/>
          <w:color w:val="0B3D91"/>
          <w:sz w:val="40"/>
        </w:rPr>
        <w:t>2. Estrutura do Decreto</w:t>
      </w:r>
    </w:p>
    <w:tbl>
      <w:tblPr>
        <w:tblStyle w:val="LightGrid-Accent1"/>
        <w:tblW w:type="auto" w:w="0"/>
        <w:tblLook w:firstColumn="1" w:firstRow="1" w:lastColumn="0" w:lastRow="0" w:noHBand="0" w:noVBand="1" w:val="04A0"/>
      </w:tblPr>
      <w:tblGrid>
        <w:gridCol w:w="3230"/>
        <w:gridCol w:w="3230"/>
        <w:gridCol w:w="3230"/>
      </w:tblGrid>
      <w:tr>
        <w:tc>
          <w:tcPr>
            <w:tcW w:type="dxa" w:w="2268"/>
            <w:shd w:val="clear" w:color="auto" w:fill="0B3D91"/>
          </w:tcPr>
          <w:p>
            <w:r/>
            <w:r>
              <w:rPr>
                <w:b/>
                <w:color w:val="FFFFFF"/>
                <w:sz w:val="20"/>
              </w:rPr>
              <w:t>Livro</w:t>
            </w:r>
          </w:p>
        </w:tc>
        <w:tc>
          <w:tcPr>
            <w:tcW w:type="dxa" w:w="5102"/>
            <w:shd w:val="clear" w:color="auto" w:fill="0B3D91"/>
          </w:tcPr>
          <w:p>
            <w:r/>
            <w:r>
              <w:rPr>
                <w:b/>
                <w:color w:val="FFFFFF"/>
                <w:sz w:val="20"/>
              </w:rPr>
              <w:t>Conteúdo</w:t>
            </w:r>
          </w:p>
        </w:tc>
        <w:tc>
          <w:tcPr>
            <w:tcW w:type="dxa" w:w="1701"/>
            <w:shd w:val="clear" w:color="auto" w:fill="0B3D91"/>
          </w:tcPr>
          <w:p>
            <w:r/>
            <w:r>
              <w:rPr>
                <w:b/>
                <w:color w:val="FFFFFF"/>
                <w:sz w:val="20"/>
              </w:rPr>
              <w:t>Artigos</w:t>
            </w:r>
          </w:p>
        </w:tc>
      </w:tr>
      <w:tr>
        <w:tc>
          <w:tcPr>
            <w:tcW w:type="dxa" w:w="2268"/>
          </w:tcPr>
          <w:p>
            <w:r/>
            <w:r>
              <w:rPr>
                <w:sz w:val="20"/>
              </w:rPr>
              <w:t>Livro I — Normas Comuns</w:t>
            </w:r>
          </w:p>
        </w:tc>
        <w:tc>
          <w:tcPr>
            <w:tcW w:type="dxa" w:w="5102"/>
          </w:tcPr>
          <w:p>
            <w:r/>
            <w:r>
              <w:rPr>
                <w:sz w:val="20"/>
              </w:rPr>
              <w:t>Incidência, base de cálculo, sujeição passiva, não cumulatividade, regimes diferenciados/específicos, importação/exportação, ZFM/ALC, transição imobiliária</w:t>
            </w:r>
          </w:p>
        </w:tc>
        <w:tc>
          <w:tcPr>
            <w:tcW w:type="dxa" w:w="1701"/>
          </w:tcPr>
          <w:p>
            <w:r/>
            <w:r>
              <w:rPr>
                <w:sz w:val="20"/>
              </w:rPr>
              <w:t>1 a 463</w:t>
            </w:r>
          </w:p>
        </w:tc>
      </w:tr>
      <w:tr>
        <w:tc>
          <w:tcPr>
            <w:tcW w:type="dxa" w:w="2268"/>
          </w:tcPr>
          <w:p>
            <w:r/>
            <w:r>
              <w:rPr>
                <w:sz w:val="20"/>
              </w:rPr>
              <w:t>Livro II — Normas Específicas da CBS</w:t>
            </w:r>
          </w:p>
        </w:tc>
        <w:tc>
          <w:tcPr>
            <w:tcW w:type="dxa" w:w="5102"/>
          </w:tcPr>
          <w:p>
            <w:r/>
            <w:r>
              <w:rPr>
                <w:sz w:val="20"/>
              </w:rPr>
              <w:t>Alíquotas, percentuais de crédito presumido, devolução, documentos fiscais na importação, ressarcimento, regimes diferenciados/específicos, ZFM/ALC, fiscalização, penalidades, transição</w:t>
            </w:r>
          </w:p>
        </w:tc>
        <w:tc>
          <w:tcPr>
            <w:tcW w:type="dxa" w:w="1701"/>
          </w:tcPr>
          <w:p>
            <w:r/>
            <w:r>
              <w:rPr>
                <w:sz w:val="20"/>
              </w:rPr>
              <w:t>464 a 616</w:t>
            </w:r>
          </w:p>
        </w:tc>
      </w:tr>
      <w:tr>
        <w:tc>
          <w:tcPr>
            <w:tcW w:type="dxa" w:w="2268"/>
          </w:tcPr>
          <w:p>
            <w:r/>
            <w:r>
              <w:rPr>
                <w:sz w:val="20"/>
              </w:rPr>
              <w:t>Livro III — Disposições Finais</w:t>
            </w:r>
          </w:p>
        </w:tc>
        <w:tc>
          <w:tcPr>
            <w:tcW w:type="dxa" w:w="5102"/>
          </w:tcPr>
          <w:p>
            <w:r/>
            <w:r>
              <w:rPr>
                <w:sz w:val="20"/>
              </w:rPr>
              <w:t>Habilitações, regulamentação complementar e vigência</w:t>
            </w:r>
          </w:p>
        </w:tc>
        <w:tc>
          <w:tcPr>
            <w:tcW w:type="dxa" w:w="1701"/>
          </w:tcPr>
          <w:p>
            <w:r/>
            <w:r>
              <w:rPr>
                <w:sz w:val="20"/>
              </w:rPr>
              <w:t>617 a 620</w:t>
            </w:r>
          </w:p>
        </w:tc>
      </w:tr>
      <w:tr>
        <w:tc>
          <w:tcPr>
            <w:tcW w:type="dxa" w:w="2268"/>
          </w:tcPr>
          <w:p>
            <w:r/>
            <w:r>
              <w:rPr>
                <w:sz w:val="20"/>
              </w:rPr>
              <w:t>Anexos</w:t>
            </w:r>
          </w:p>
        </w:tc>
        <w:tc>
          <w:tcPr>
            <w:tcW w:type="dxa" w:w="5102"/>
          </w:tcPr>
          <w:p>
            <w:r/>
            <w:r>
              <w:rPr>
                <w:sz w:val="20"/>
              </w:rPr>
              <w:t>Taxas de depreciação, lista REPETRO, lista REPORTO, bens de capital com suspensão, bens de capital desonerados (produtor rural / TAC)</w:t>
            </w:r>
          </w:p>
        </w:tc>
        <w:tc>
          <w:tcPr>
            <w:tcW w:type="dxa" w:w="1701"/>
          </w:tcPr>
          <w:p>
            <w:r/>
            <w:r>
              <w:rPr>
                <w:sz w:val="20"/>
              </w:rPr>
              <w:t>I a V</w:t>
            </w:r>
          </w:p>
        </w:tc>
      </w:tr>
    </w:tbl>
    <w:p/>
    <w:p>
      <w:pPr>
        <w:spacing w:before="360" w:after="160"/>
      </w:pPr>
      <w:r>
        <w:rPr>
          <w:b/>
          <w:color w:val="0B3D91"/>
          <w:sz w:val="40"/>
        </w:rPr>
        <w:t>3. Síntese por Segmento Normativo</w:t>
      </w:r>
    </w:p>
    <w:p>
      <w:pPr>
        <w:spacing w:before="240" w:after="120"/>
      </w:pPr>
      <w:r>
        <w:rPr>
          <w:b/>
          <w:color w:val="1F4E79"/>
          <w:sz w:val="30"/>
        </w:rPr>
        <w:t>3.1. Hipótese de Incidência e Não Incidência</w:t>
      </w:r>
    </w:p>
    <w:p>
      <w:pPr>
        <w:jc w:val="both"/>
      </w:pPr>
      <w:r>
        <w:rPr>
          <w:b w:val="0"/>
          <w:i w:val="0"/>
        </w:rPr>
        <w:t>A CBS incide sobre operações onerosas com bens (móveis, imóveis, materiais, imateriais, inclusive direitos) e serviços (art. 4º), sendo irrelevantes a natureza jurídica do negócio, sua validade ou o intuito de lucro. Inclui também operações não onerosas ou a valor inferior ao de mercado, como brindes, bonificações, fornecimentos a sócios e parentes (art. 5º).</w:t>
      </w:r>
    </w:p>
    <w:p>
      <w:pPr>
        <w:jc w:val="both"/>
      </w:pPr>
      <w:r>
        <w:rPr>
          <w:b w:val="0"/>
          <w:i w:val="0"/>
        </w:rPr>
        <w:t>Não incidem sobre relações de emprego, transferências entre estabelecimentos do mesmo contribuinte, baixa de participação societária, doações sem contraprestação, transferências para entidades sem fins lucrativos, reversão de fundos cooperativos, contribuições associativas estatutárias (art. 6º).</w:t>
      </w:r>
    </w:p>
    <w:p>
      <w:pPr>
        <w:spacing w:before="240" w:after="120"/>
      </w:pPr>
      <w:r>
        <w:rPr>
          <w:b/>
          <w:color w:val="1F4E79"/>
          <w:sz w:val="30"/>
        </w:rPr>
        <w:t>3.2. Imunidades e Isenções</w:t>
      </w:r>
    </w:p>
    <w:p>
      <w:pPr>
        <w:jc w:val="both"/>
      </w:pPr>
      <w:r>
        <w:rPr>
          <w:b w:val="0"/>
          <w:i w:val="0"/>
        </w:rPr>
        <w:t>São imunes à CBS as exportações (art. 9º) e fornecimentos por entes públicos, entidades religiosas e templos, partidos políticos, sindicatos, instituições de educação e assistência social sem fins lucrativos, livros, jornais, periódicos e papel para impressão, fonogramas brasileiros, radiodifusão livre e gratuita e ouro como ativo financeiro (art. 10).</w:t>
      </w:r>
    </w:p>
    <w:p>
      <w:pPr>
        <w:spacing w:before="240" w:after="120"/>
      </w:pPr>
      <w:r>
        <w:rPr>
          <w:b/>
          <w:color w:val="1F4E79"/>
          <w:sz w:val="30"/>
        </w:rPr>
        <w:t>3.3. Momento do Fato Gerador</w:t>
      </w:r>
    </w:p>
    <w:p>
      <w:pPr>
        <w:jc w:val="both"/>
      </w:pPr>
      <w:r>
        <w:rPr>
          <w:b w:val="0"/>
          <w:i w:val="0"/>
        </w:rPr>
        <w:t>O fato gerador ocorre no fornecimento (art. 11): entrega/disponibilização do bem material, instituição de bem imaterial, início ou término do transporte, término do serviço, aquisição em leilão. Em compras governamentais, no momento do pagamento. Em fornecimentos contínuos ou fracionados, na data de exigibilidade da contraprestação ou no pagamento, o que ocorrer primeiro.</w:t>
      </w:r>
    </w:p>
    <w:p>
      <w:pPr>
        <w:spacing w:before="240" w:after="120"/>
      </w:pPr>
      <w:r>
        <w:rPr>
          <w:b/>
          <w:color w:val="1F4E79"/>
          <w:sz w:val="30"/>
        </w:rPr>
        <w:t>3.4. Local da Operação</w:t>
      </w:r>
    </w:p>
    <w:p>
      <w:pPr>
        <w:jc w:val="both"/>
      </w:pPr>
      <w:r>
        <w:rPr>
          <w:b w:val="0"/>
          <w:i w:val="0"/>
        </w:rPr>
        <w:t>Regra de destino (art. 12): bem móvel material — local da entrega; imóvel — local do imóvel; serviço sobre pessoa física — local da prestação; transporte — origem ou destino conforme modalidade; e, residualmente, domicílio do adquirente. Há regras específicas para energia elétrica, gás canalizado, dutoviário, telefonia fixa e operações multilaterais.</w:t>
      </w:r>
    </w:p>
    <w:p>
      <w:pPr>
        <w:spacing w:before="240" w:after="120"/>
      </w:pPr>
      <w:r>
        <w:rPr>
          <w:b/>
          <w:color w:val="1F4E79"/>
          <w:sz w:val="30"/>
        </w:rPr>
        <w:t>3.5. Base de Cálculo e Alíquotas</w:t>
      </w:r>
    </w:p>
    <w:p>
      <w:pPr>
        <w:jc w:val="both"/>
      </w:pPr>
      <w:r>
        <w:rPr>
          <w:b w:val="0"/>
          <w:i w:val="0"/>
        </w:rPr>
        <w:t>Base = valor da operação, com inclusão de juros, multas, encargos, descontos condicionados e demais valores cobrados (art. 13). Excluem-se CBS, IBS, IPI, descontos incondicionais e reembolsos de valores por conta de terceiros. A alíquota da CBS será fixada por lei ordinária da União (art. 466), com referência apurada pelo TCU. Em 2026, a alíquota é de 0,9% (art. 582). Em 2027 e 2028, a alíquota será reduzida em 0,1 ponto percentual (art. 585).</w:t>
      </w:r>
    </w:p>
    <w:p>
      <w:pPr>
        <w:spacing w:before="240" w:after="120"/>
      </w:pPr>
      <w:r>
        <w:rPr>
          <w:b/>
          <w:color w:val="1F4E79"/>
          <w:sz w:val="30"/>
        </w:rPr>
        <w:t>3.6. Não Cumulatividade</w:t>
      </w:r>
    </w:p>
    <w:p>
      <w:pPr>
        <w:jc w:val="both"/>
      </w:pPr>
      <w:r>
        <w:rPr>
          <w:b w:val="0"/>
          <w:i w:val="0"/>
        </w:rPr>
        <w:t>Regime amplo e financeiro (art. 47): apropriação de créditos integral sobre todos os bens e serviços adquiridos, exceto os de uso ou consumo pessoal (art. 62 a 64). O crédito está condicionado à comprovação por documento fiscal idôneo e à extinção do débito do fornecedor (regra geral). Os créditos podem ser utilizados para compensação ou ressarcimento, respeitada a ordem cronológica de imputação.</w:t>
      </w:r>
    </w:p>
    <w:p>
      <w:pPr>
        <w:spacing w:before="240" w:after="120"/>
      </w:pPr>
      <w:r>
        <w:rPr>
          <w:b/>
          <w:color w:val="1F4E79"/>
          <w:sz w:val="30"/>
        </w:rPr>
        <w:t>3.7. Modalidades de Extinção do Débito (art. 26)</w:t>
      </w:r>
    </w:p>
    <w:p>
      <w:pPr>
        <w:pStyle w:val="ListBullet"/>
      </w:pPr>
      <w:r>
        <w:t>I — Compensação com créditos do contribuinte (ordem cronológica);</w:t>
      </w:r>
    </w:p>
    <w:p>
      <w:pPr>
        <w:pStyle w:val="ListBullet"/>
      </w:pPr>
      <w:r>
        <w:t>II — Pagamento pelo contribuinte;</w:t>
      </w:r>
    </w:p>
    <w:p>
      <w:pPr>
        <w:pStyle w:val="ListBullet"/>
      </w:pPr>
      <w:r>
        <w:t>III — Recolhimento na liquidação financeira (split payment);</w:t>
      </w:r>
    </w:p>
    <w:p>
      <w:pPr>
        <w:pStyle w:val="ListBullet"/>
      </w:pPr>
      <w:r>
        <w:t>IV — Recolhimento pelo adquirente;</w:t>
      </w:r>
    </w:p>
    <w:p>
      <w:pPr>
        <w:pStyle w:val="ListBullet"/>
      </w:pPr>
      <w:r>
        <w:t>V — Pagamento pelo responsável tributário.</w:t>
      </w:r>
    </w:p>
    <w:p>
      <w:pPr>
        <w:spacing w:before="240" w:after="120"/>
      </w:pPr>
      <w:r>
        <w:rPr>
          <w:b/>
          <w:color w:val="1F4E79"/>
          <w:sz w:val="30"/>
        </w:rPr>
        <w:t>3.8. Split Payment (art. 28 a 35)</w:t>
      </w:r>
    </w:p>
    <w:p>
      <w:pPr>
        <w:jc w:val="both"/>
      </w:pPr>
      <w:r>
        <w:rPr>
          <w:b w:val="0"/>
          <w:i w:val="0"/>
        </w:rPr>
        <w:t>Mecanismo central: prestadores de serviço de pagamento e instituições operadoras de sistemas de pagamento devem segregar e recolher a CBS no momento da liquidação financeira da transação, com base em informações da plataforma pública RFB/CGIBS. Há procedimento padrão (art. 29) — usa o valor exato da CBS destacada no documento fiscal — e procedimento simplificado (art. 30) — aplica percentual preestabelecido sobre o valor da operação. Aplica-se a boletos, Pix, TED, cartões, e demais arranjos.</w:t>
      </w:r>
    </w:p>
    <w:p>
      <w:pPr>
        <w:spacing w:before="240" w:after="120"/>
      </w:pPr>
      <w:r>
        <w:rPr>
          <w:b/>
          <w:color w:val="1F4E79"/>
          <w:sz w:val="30"/>
        </w:rPr>
        <w:t>3.9. Importação e Exportação</w:t>
      </w:r>
    </w:p>
    <w:p>
      <w:pPr>
        <w:jc w:val="both"/>
      </w:pPr>
      <w:r>
        <w:rPr>
          <w:b w:val="0"/>
          <w:i w:val="0"/>
        </w:rPr>
        <w:t>Importações de bens, serviços e bens imateriais ficam sujeitas à CBS pelas mesmas alíquotas internas, observada a base de cálculo específica (valor aduaneiro acrescido de tributos, contribuições, taxas e direitos — art. 80). Exportações são imunes, com manutenção do crédito (art. 9º e art. 91). Há regime simplificado (RTS) para remessas internacionais e regras específicas para serviços vinculados à exportação de bens materiais (intermediação, seguro, despacho, transporte, entre outros).</w:t>
      </w:r>
    </w:p>
    <w:p>
      <w:pPr>
        <w:spacing w:before="240" w:after="120"/>
      </w:pPr>
      <w:r>
        <w:rPr>
          <w:b/>
          <w:color w:val="1F4E79"/>
          <w:sz w:val="30"/>
        </w:rPr>
        <w:t>3.10. Regimes Aduaneiros Especiais</w:t>
      </w:r>
    </w:p>
    <w:p>
      <w:pPr>
        <w:pStyle w:val="ListBullet"/>
      </w:pPr>
      <w:r>
        <w:t>Trânsito Aduaneiro (art. 152) — suspensão durante o trânsito;</w:t>
      </w:r>
    </w:p>
    <w:p>
      <w:pPr>
        <w:pStyle w:val="ListBullet"/>
      </w:pPr>
      <w:r>
        <w:t>Depósito (art. 154 a 158) — entreposto, depósito especial, afiançado, franco, lojas francas;</w:t>
      </w:r>
    </w:p>
    <w:p>
      <w:pPr>
        <w:pStyle w:val="ListBullet"/>
      </w:pPr>
      <w:r>
        <w:t>Permanência Temporária (art. 159 a 163) — admissão e exportação temporárias;</w:t>
      </w:r>
    </w:p>
    <w:p>
      <w:pPr>
        <w:pStyle w:val="ListBullet"/>
      </w:pPr>
      <w:r>
        <w:t>Aperfeiçoamento (art. 161 a 163) — RECOF, drawback suspensão, admissão/exportação para aperfeiçoamento;</w:t>
      </w:r>
    </w:p>
    <w:p>
      <w:pPr>
        <w:pStyle w:val="ListBullet"/>
      </w:pPr>
      <w:r>
        <w:t>REPETRO (art. 164) — petróleo e gás, com regimes Temporário, Permanente, Industrialização, Nacional e Entreposto;</w:t>
      </w:r>
    </w:p>
    <w:p>
      <w:pPr>
        <w:pStyle w:val="ListBullet"/>
      </w:pPr>
      <w:r>
        <w:t>Bagagem e Remessas Internacionais (art. 171 a 178) — isenções e RTS;</w:t>
      </w:r>
    </w:p>
    <w:p>
      <w:pPr>
        <w:pStyle w:val="ListBullet"/>
      </w:pPr>
      <w:r>
        <w:t>Zonas de Processamento de Exportação (art. 179 a 184).</w:t>
      </w:r>
    </w:p>
    <w:p>
      <w:pPr>
        <w:spacing w:before="240" w:after="120"/>
      </w:pPr>
      <w:r>
        <w:rPr>
          <w:b/>
          <w:color w:val="1F4E79"/>
          <w:sz w:val="30"/>
        </w:rPr>
        <w:t>3.11. Regime de Bens de Capital</w:t>
      </w:r>
    </w:p>
    <w:p>
      <w:pPr>
        <w:jc w:val="both"/>
      </w:pPr>
      <w:r>
        <w:rPr>
          <w:b w:val="0"/>
          <w:i w:val="0"/>
        </w:rPr>
        <w:t>Crédito integral e imediato na aquisição de bens de capital (art. 195). Há também REPORTO (modernização portuária e ferroviária — Anexo III), Reidi (infraestrutura), Renaval (atividade naval) e desoneração específica para tratores/máquinas agrícolas adquiridos por produtor rural não contribuinte e veículos de carga adquiridos por TAC pessoa física não contribuinte (Anexo IV).</w:t>
      </w:r>
    </w:p>
    <w:p>
      <w:pPr>
        <w:spacing w:before="240" w:after="120"/>
      </w:pPr>
      <w:r>
        <w:rPr>
          <w:b/>
          <w:color w:val="1F4E79"/>
          <w:sz w:val="30"/>
        </w:rPr>
        <w:t>3.12. Cesta Básica Nacional de Alimentos</w:t>
      </w:r>
    </w:p>
    <w:p>
      <w:pPr>
        <w:jc w:val="both"/>
      </w:pPr>
      <w:r>
        <w:rPr>
          <w:b w:val="0"/>
          <w:i w:val="0"/>
        </w:rPr>
        <w:t>Alíquota zero da CBS para os produtos relacionados no Anexo I da LC 214/2025 (art. 199). A composição da cesta é vinculada à classificação NCM/SH e qualquer alteração depende de cumprimento dos §§ 9º e 11 do art. 156-A da CF.</w:t>
      </w:r>
    </w:p>
    <w:p>
      <w:pPr>
        <w:spacing w:before="240" w:after="120"/>
      </w:pPr>
      <w:r>
        <w:rPr>
          <w:b/>
          <w:color w:val="1F4E79"/>
          <w:sz w:val="30"/>
        </w:rPr>
        <w:t>3.13. Regimes Diferenciados (Reduções de Alíquota)</w:t>
      </w:r>
    </w:p>
    <w:tbl>
      <w:tblPr>
        <w:tblStyle w:val="LightGrid-Accent1"/>
        <w:tblW w:type="auto" w:w="0"/>
        <w:tblLook w:firstColumn="1" w:firstRow="1" w:lastColumn="0" w:lastRow="0" w:noHBand="0" w:noVBand="1" w:val="04A0"/>
      </w:tblPr>
      <w:tblGrid>
        <w:gridCol w:w="3230"/>
        <w:gridCol w:w="3230"/>
        <w:gridCol w:w="3230"/>
      </w:tblGrid>
      <w:tr>
        <w:tc>
          <w:tcPr>
            <w:tcW w:type="dxa" w:w="1701"/>
            <w:shd w:val="clear" w:color="auto" w:fill="0B3D91"/>
          </w:tcPr>
          <w:p>
            <w:r/>
            <w:r>
              <w:rPr>
                <w:b/>
                <w:color w:val="FFFFFF"/>
                <w:sz w:val="20"/>
              </w:rPr>
              <w:t>Redução</w:t>
            </w:r>
          </w:p>
        </w:tc>
        <w:tc>
          <w:tcPr>
            <w:tcW w:type="dxa" w:w="5669"/>
            <w:shd w:val="clear" w:color="auto" w:fill="0B3D91"/>
          </w:tcPr>
          <w:p>
            <w:r/>
            <w:r>
              <w:rPr>
                <w:b/>
                <w:color w:val="FFFFFF"/>
                <w:sz w:val="20"/>
              </w:rPr>
              <w:t>Operações Contempladas</w:t>
            </w:r>
          </w:p>
        </w:tc>
        <w:tc>
          <w:tcPr>
            <w:tcW w:type="dxa" w:w="1701"/>
            <w:shd w:val="clear" w:color="auto" w:fill="0B3D91"/>
          </w:tcPr>
          <w:p>
            <w:r/>
            <w:r>
              <w:rPr>
                <w:b/>
                <w:color w:val="FFFFFF"/>
                <w:sz w:val="20"/>
              </w:rPr>
              <w:t>Base</w:t>
            </w:r>
          </w:p>
        </w:tc>
      </w:tr>
      <w:tr>
        <w:tc>
          <w:tcPr>
            <w:tcW w:type="dxa" w:w="1701"/>
          </w:tcPr>
          <w:p>
            <w:r/>
            <w:r>
              <w:rPr>
                <w:sz w:val="20"/>
              </w:rPr>
              <w:t>30%</w:t>
            </w:r>
          </w:p>
        </w:tc>
        <w:tc>
          <w:tcPr>
            <w:tcW w:type="dxa" w:w="5669"/>
          </w:tcPr>
          <w:p>
            <w:r/>
            <w:r>
              <w:rPr>
                <w:sz w:val="20"/>
              </w:rPr>
              <w:t>Profissões intelectuais regulamentadas (advogados, contadores, médicos veterinários, engenheiros, arquitetos, etc.)</w:t>
            </w:r>
          </w:p>
        </w:tc>
        <w:tc>
          <w:tcPr>
            <w:tcW w:type="dxa" w:w="1701"/>
          </w:tcPr>
          <w:p>
            <w:r/>
            <w:r>
              <w:rPr>
                <w:sz w:val="20"/>
              </w:rPr>
              <w:t>art. 202</w:t>
            </w:r>
          </w:p>
        </w:tc>
      </w:tr>
      <w:tr>
        <w:tc>
          <w:tcPr>
            <w:tcW w:type="dxa" w:w="1701"/>
          </w:tcPr>
          <w:p>
            <w:r/>
            <w:r>
              <w:rPr>
                <w:sz w:val="20"/>
              </w:rPr>
              <w:t>60%</w:t>
            </w:r>
          </w:p>
        </w:tc>
        <w:tc>
          <w:tcPr>
            <w:tcW w:type="dxa" w:w="5669"/>
          </w:tcPr>
          <w:p>
            <w:r/>
            <w:r>
              <w:rPr>
                <w:sz w:val="20"/>
              </w:rPr>
              <w:t>Educação, saúde, dispositivos médicos e de acessibilidade, medicamentos, alimentos consumo humano, higiene básica, hortifruti, insumos agropecuários, produções artísticas/culturais/jornalísticas, comunicação institucional, atividades desportivas, soberania/segurança nacional</w:t>
            </w:r>
          </w:p>
        </w:tc>
        <w:tc>
          <w:tcPr>
            <w:tcW w:type="dxa" w:w="1701"/>
          </w:tcPr>
          <w:p>
            <w:r/>
            <w:r>
              <w:rPr>
                <w:sz w:val="20"/>
              </w:rPr>
              <w:t>art. 203 a 218</w:t>
            </w:r>
          </w:p>
        </w:tc>
      </w:tr>
      <w:tr>
        <w:tc>
          <w:tcPr>
            <w:tcW w:type="dxa" w:w="1701"/>
          </w:tcPr>
          <w:p>
            <w:r/>
            <w:r>
              <w:rPr>
                <w:sz w:val="20"/>
              </w:rPr>
              <w:t>100% (alíquota zero)</w:t>
            </w:r>
          </w:p>
        </w:tc>
        <w:tc>
          <w:tcPr>
            <w:tcW w:type="dxa" w:w="5669"/>
          </w:tcPr>
          <w:p>
            <w:r/>
            <w:r>
              <w:rPr>
                <w:sz w:val="20"/>
              </w:rPr>
              <w:t>Dispositivos médicos e de acessibilidade específicos, medicamentos para doenças graves/programas públicos, produtos de saúde menstrual, hortifruti específico, automóveis para PcD/táxi, ICT sem fins lucrativos</w:t>
            </w:r>
          </w:p>
        </w:tc>
        <w:tc>
          <w:tcPr>
            <w:tcW w:type="dxa" w:w="1701"/>
          </w:tcPr>
          <w:p>
            <w:r/>
            <w:r>
              <w:rPr>
                <w:sz w:val="20"/>
              </w:rPr>
              <w:t>art. 219 a 232</w:t>
            </w:r>
          </w:p>
        </w:tc>
      </w:tr>
    </w:tbl>
    <w:p/>
    <w:p>
      <w:pPr>
        <w:spacing w:before="240" w:after="120"/>
      </w:pPr>
      <w:r>
        <w:rPr>
          <w:b/>
          <w:color w:val="1F4E79"/>
          <w:sz w:val="30"/>
        </w:rPr>
        <w:t>3.14. Regimes Específicos (Bases de Cálculo Próprias)</w:t>
      </w:r>
    </w:p>
    <w:p>
      <w:pPr>
        <w:pStyle w:val="ListBullet"/>
      </w:pPr>
      <w:r>
        <w:t>Combustíveis — incidência monofásica e alíquotas específicas por unidade (art. 259);</w:t>
      </w:r>
    </w:p>
    <w:p>
      <w:pPr>
        <w:pStyle w:val="ListBullet"/>
      </w:pPr>
      <w:r>
        <w:t>Serviços Financeiros — regime de margem com deduções (art. 269);</w:t>
      </w:r>
    </w:p>
    <w:p>
      <w:pPr>
        <w:pStyle w:val="ListBullet"/>
      </w:pPr>
      <w:r>
        <w:t>Planos de Assistência à Saúde — alíquota reduzida com deduções de sinistros (art. 330);</w:t>
      </w:r>
    </w:p>
    <w:p>
      <w:pPr>
        <w:pStyle w:val="ListBullet"/>
      </w:pPr>
      <w:r>
        <w:t>Concursos de Prognósticos — sobre receita líquida (apostas - prêmios) (art. 347);</w:t>
      </w:r>
    </w:p>
    <w:p>
      <w:pPr>
        <w:pStyle w:val="ListBullet"/>
      </w:pPr>
      <w:r>
        <w:t>Bens Imóveis — alíquota reduzida 50%/70%, redutor de ajuste e redutor social (art. 359);</w:t>
      </w:r>
    </w:p>
    <w:p>
      <w:pPr>
        <w:pStyle w:val="ListBullet"/>
      </w:pPr>
      <w:r>
        <w:t>Cooperativas — alíquota zero entre cooperativa e associado contribuinte (art. 391);</w:t>
      </w:r>
    </w:p>
    <w:p>
      <w:pPr>
        <w:pStyle w:val="ListBullet"/>
      </w:pPr>
      <w:r>
        <w:t>Bares e Restaurantes — redução de 40% sobre alimentação preparada (art. 396);</w:t>
      </w:r>
    </w:p>
    <w:p>
      <w:pPr>
        <w:pStyle w:val="ListBullet"/>
      </w:pPr>
      <w:r>
        <w:t>Hotelaria, Parques de Diversão e Temáticos — redução de 40% (art. 402);</w:t>
      </w:r>
    </w:p>
    <w:p>
      <w:pPr>
        <w:pStyle w:val="ListBullet"/>
      </w:pPr>
      <w:r>
        <w:t>Transporte Coletivo de Passageiros — reduções de 40% e 100% (art. 414);</w:t>
      </w:r>
    </w:p>
    <w:p>
      <w:pPr>
        <w:pStyle w:val="ListBullet"/>
      </w:pPr>
      <w:r>
        <w:t>Agências de Turismo — base sobre margem (art. 417);</w:t>
      </w:r>
    </w:p>
    <w:p>
      <w:pPr>
        <w:pStyle w:val="ListBullet"/>
      </w:pPr>
      <w:r>
        <w:t>Sociedade Anônima do Futebol (SAF) — regime TEF unificado (art. 421);</w:t>
      </w:r>
    </w:p>
    <w:p>
      <w:pPr>
        <w:pStyle w:val="ListBullet"/>
      </w:pPr>
      <w:r>
        <w:t>Missões Diplomáticas e Operações com Tratado Internacional (art. 430).</w:t>
      </w:r>
    </w:p>
    <w:p>
      <w:pPr>
        <w:spacing w:before="240" w:after="120"/>
      </w:pPr>
      <w:r>
        <w:rPr>
          <w:b/>
          <w:color w:val="1F4E79"/>
          <w:sz w:val="30"/>
        </w:rPr>
        <w:t>3.15. Compras Governamentais</w:t>
      </w:r>
    </w:p>
    <w:p>
      <w:pPr>
        <w:jc w:val="both"/>
      </w:pPr>
      <w:r>
        <w:rPr>
          <w:b w:val="0"/>
          <w:i w:val="0"/>
        </w:rPr>
        <w:t>O produto da CBS e do IBS é destinado integralmente ao ente contratante (art. 439), com fixação de alíquota concentrada (zero para os demais entes; soma das alíquotas para o contratante). Há redutor da alíquota sobre operações com administração pública direta, autarquias e fundações (art. 442 e 443).</w:t>
      </w:r>
    </w:p>
    <w:p>
      <w:pPr>
        <w:spacing w:before="240" w:after="120"/>
      </w:pPr>
      <w:r>
        <w:rPr>
          <w:b/>
          <w:color w:val="1F4E79"/>
          <w:sz w:val="30"/>
        </w:rPr>
        <w:t>3.16. Devolução Personalizada (Cashback)</w:t>
      </w:r>
    </w:p>
    <w:p>
      <w:pPr>
        <w:jc w:val="both"/>
      </w:pPr>
      <w:r>
        <w:rPr>
          <w:b w:val="0"/>
          <w:i w:val="0"/>
        </w:rPr>
        <w:t>Famílias de baixa renda inscritas no CadÚnico, com renda per capita até meio salário-mínimo, residentes no País e com CPF regular (art. 493) terão direito ao cashback de 100% (botijão de GLP, energia, água, esgoto, gás canalizado e telecomunicações domiciliares) e 20% nas demais aquisições (art. 503). A devolução pode ocorrer como desconto na cobrança (cashback desconto) ou transferência ao responsável familiar (cashback devolução).</w:t>
      </w:r>
    </w:p>
    <w:p>
      <w:pPr>
        <w:spacing w:before="240" w:after="120"/>
      </w:pPr>
      <w:r>
        <w:rPr>
          <w:b/>
          <w:color w:val="1F4E79"/>
          <w:sz w:val="30"/>
        </w:rPr>
        <w:t>3.17. Cadastro com Identificação Única</w:t>
      </w:r>
    </w:p>
    <w:p>
      <w:pPr>
        <w:jc w:val="both"/>
      </w:pPr>
      <w:r>
        <w:rPr>
          <w:b w:val="0"/>
          <w:i w:val="0"/>
        </w:rPr>
        <w:t>Sistema unificado RFB + administrações tributárias estaduais/municipais, baseado em CPF, CNPJ e CIB (Cadastro Imobiliário Brasileiro) (art. 104 a 111). Vedação à criação de cadastros distintos. Domicílio Tributário Eletrônico obrigatório (art. 561).</w:t>
      </w:r>
    </w:p>
    <w:p>
      <w:pPr>
        <w:spacing w:before="240" w:after="120"/>
      </w:pPr>
      <w:r>
        <w:rPr>
          <w:b/>
          <w:color w:val="1F4E79"/>
          <w:sz w:val="30"/>
        </w:rPr>
        <w:t>3.18. Documentos Fiscais Eletrônicos</w:t>
      </w:r>
    </w:p>
    <w:p>
      <w:pPr>
        <w:jc w:val="both"/>
      </w:pPr>
      <w:r>
        <w:rPr>
          <w:b w:val="0"/>
          <w:i w:val="0"/>
        </w:rPr>
        <w:t>Recepcionados e instituídos: NF-e, NFC-e, NFS-e, CT-e, CT-e OS, BP-e, MDF-e, GTV-e, NF3e, NFCom, NFGas, DC-e, NFS-e Via, Duimp, DIR (art. 113); Instituídos: NFAg, DeRE, NF-e ABI (art. 114). Obrigatoriedade de emissão para todas as operações, inclusive imunes/isentas/alíquota zero, transferências entre estabelecimentos, doações, plataformas digitais, produtores rurais não contribuintes, MEI/condomínios optantes (art. 115).</w:t>
      </w:r>
    </w:p>
    <w:p>
      <w:pPr>
        <w:spacing w:before="240" w:after="120"/>
      </w:pPr>
      <w:r>
        <w:rPr>
          <w:b/>
          <w:color w:val="1F4E79"/>
          <w:sz w:val="30"/>
        </w:rPr>
        <w:t>3.19. Fiscalização e Penalidades</w:t>
      </w:r>
    </w:p>
    <w:p>
      <w:pPr>
        <w:jc w:val="both"/>
      </w:pPr>
      <w:r>
        <w:rPr>
          <w:b w:val="0"/>
          <w:i w:val="0"/>
        </w:rPr>
        <w:t>Competência da RFB (art. 552). Multa de ofício de 75% sobre o tributo não declarado/declarado a menor; 100%/150% em casos de sonegação, fraude, simulação, conluio ou reincidência (art. 576). Penalidades específicas por descumprimento das obrigações acessórias, expressas em UPF — Unidade Padrão Fiscal — fixada em R$ 200,00 (art. 573 e 577). Reduções de 50% a 60% no pagamento integral no prazo de impugnação (art. 578).</w:t>
      </w:r>
    </w:p>
    <w:p>
      <w:pPr>
        <w:spacing w:before="240" w:after="120"/>
      </w:pPr>
      <w:r>
        <w:rPr>
          <w:b/>
          <w:color w:val="1F4E79"/>
          <w:sz w:val="30"/>
        </w:rPr>
        <w:t>3.20. Período de Transição (2026 a 2032)</w:t>
      </w:r>
    </w:p>
    <w:p>
      <w:pPr>
        <w:jc w:val="both"/>
      </w:pPr>
      <w:r>
        <w:rPr>
          <w:b w:val="0"/>
          <w:i w:val="0"/>
        </w:rPr>
        <w:t>Em 2026: alíquota de 0,9% com dispensa de recolhimento (art. 464 e 582), apuração em caráter informativo, compensação automática com PIS/COFINS (art. 583). De 2027 a 2032: convivência das alíquotas reduzidas em 0,1 ponto percentual (art. 585), manutenção dos créditos remanescentes de PIS/COFINS conforme art. 602 a 614, possibilidade de crédito presumido sobre estoque de abertura, convivência com os tributos extintos para fato gerador anterior à transição (art. 616).</w:t>
      </w:r>
    </w:p>
    <w:p>
      <w:pPr>
        <w:spacing w:before="240" w:after="120"/>
      </w:pPr>
      <w:r>
        <w:rPr>
          <w:b/>
          <w:color w:val="1F4E79"/>
          <w:sz w:val="30"/>
        </w:rPr>
        <w:t>3.21. Zona Franca de Manaus e Áreas de Livre Comércio</w:t>
      </w:r>
    </w:p>
    <w:p>
      <w:pPr>
        <w:jc w:val="both"/>
      </w:pPr>
      <w:r>
        <w:rPr>
          <w:b w:val="0"/>
          <w:i w:val="0"/>
        </w:rPr>
        <w:t>Mantidos os benefícios fiscais até 31/12/2073 (limite previsto no art. 92-A do ADCT). Suspensão na importação por indústria incentivada (art. 528 e 536), alíquota zero em operações originadas no País destinadas a contribuinte habilitado na ZFM/ALC (art. 529, 532, 537, 538), crédito presumido na operação interna originada da indústria incentivada (art. 531 e 539). Ingresso/internamento em sistema integrado RFB-Suframa (art. 543 a 550).</w:t>
      </w:r>
    </w:p>
    <w:p>
      <w:pPr>
        <w:spacing w:before="360" w:after="160"/>
      </w:pPr>
      <w:r>
        <w:rPr>
          <w:b/>
          <w:color w:val="0B3D91"/>
          <w:sz w:val="40"/>
        </w:rPr>
        <w:t>4. Impacto Sintético por Departamento</w:t>
      </w:r>
    </w:p>
    <w:tbl>
      <w:tblPr>
        <w:tblStyle w:val="LightGrid-Accent1"/>
        <w:tblW w:type="auto" w:w="0"/>
        <w:tblLook w:firstColumn="1" w:firstRow="1" w:lastColumn="0" w:lastRow="0" w:noHBand="0" w:noVBand="1" w:val="04A0"/>
      </w:tblPr>
      <w:tblGrid>
        <w:gridCol w:w="4844"/>
        <w:gridCol w:w="4844"/>
      </w:tblGrid>
      <w:tr>
        <w:tc>
          <w:tcPr>
            <w:tcW w:type="dxa" w:w="2268"/>
            <w:shd w:val="clear" w:color="auto" w:fill="0B3D91"/>
          </w:tcPr>
          <w:p>
            <w:r/>
            <w:r>
              <w:rPr>
                <w:b/>
                <w:color w:val="FFFFFF"/>
                <w:sz w:val="20"/>
              </w:rPr>
              <w:t>Departamento</w:t>
            </w:r>
          </w:p>
        </w:tc>
        <w:tc>
          <w:tcPr>
            <w:tcW w:type="dxa" w:w="6803"/>
            <w:shd w:val="clear" w:color="auto" w:fill="0B3D91"/>
          </w:tcPr>
          <w:p>
            <w:r/>
            <w:r>
              <w:rPr>
                <w:b/>
                <w:color w:val="FFFFFF"/>
                <w:sz w:val="20"/>
              </w:rPr>
              <w:t>Principais Impactos</w:t>
            </w:r>
          </w:p>
        </w:tc>
      </w:tr>
      <w:tr>
        <w:tc>
          <w:tcPr>
            <w:tcW w:type="dxa" w:w="2268"/>
          </w:tcPr>
          <w:p>
            <w:r/>
            <w:r>
              <w:rPr>
                <w:sz w:val="20"/>
              </w:rPr>
              <w:t>Fiscal e Tributário</w:t>
            </w:r>
          </w:p>
        </w:tc>
        <w:tc>
          <w:tcPr>
            <w:tcW w:type="dxa" w:w="6803"/>
          </w:tcPr>
          <w:p>
            <w:r/>
            <w:r>
              <w:rPr>
                <w:sz w:val="20"/>
              </w:rPr>
              <w:t>Reformulação completa da apuração; integração com plataforma RFB/CGIBS; nova matriz NCM/NBS; aproveitamento de créditos.</w:t>
            </w:r>
          </w:p>
        </w:tc>
      </w:tr>
      <w:tr>
        <w:tc>
          <w:tcPr>
            <w:tcW w:type="dxa" w:w="2268"/>
          </w:tcPr>
          <w:p>
            <w:r/>
            <w:r>
              <w:rPr>
                <w:sz w:val="20"/>
              </w:rPr>
              <w:t>Contábil</w:t>
            </w:r>
          </w:p>
        </w:tc>
        <w:tc>
          <w:tcPr>
            <w:tcW w:type="dxa" w:w="6803"/>
          </w:tcPr>
          <w:p>
            <w:r/>
            <w:r>
              <w:rPr>
                <w:sz w:val="20"/>
              </w:rPr>
              <w:t>Segregação de receitas; controle de redutor de ajuste imobiliário; nova estrutura de plano de contas.</w:t>
            </w:r>
          </w:p>
        </w:tc>
      </w:tr>
      <w:tr>
        <w:tc>
          <w:tcPr>
            <w:tcW w:type="dxa" w:w="2268"/>
          </w:tcPr>
          <w:p>
            <w:r/>
            <w:r>
              <w:rPr>
                <w:sz w:val="20"/>
              </w:rPr>
              <w:t>TI / ERP</w:t>
            </w:r>
          </w:p>
        </w:tc>
        <w:tc>
          <w:tcPr>
            <w:tcW w:type="dxa" w:w="6803"/>
          </w:tcPr>
          <w:p>
            <w:r/>
            <w:r>
              <w:rPr>
                <w:sz w:val="20"/>
              </w:rPr>
              <w:t>Customização de ERP para emissão de novos documentos fiscais; integração com split payment; manutenção do CIB.</w:t>
            </w:r>
          </w:p>
        </w:tc>
      </w:tr>
      <w:tr>
        <w:tc>
          <w:tcPr>
            <w:tcW w:type="dxa" w:w="2268"/>
          </w:tcPr>
          <w:p>
            <w:r/>
            <w:r>
              <w:rPr>
                <w:sz w:val="20"/>
              </w:rPr>
              <w:t>Comercial / Faturamento</w:t>
            </w:r>
          </w:p>
        </w:tc>
        <w:tc>
          <w:tcPr>
            <w:tcW w:type="dxa" w:w="6803"/>
          </w:tcPr>
          <w:p>
            <w:r/>
            <w:r>
              <w:rPr>
                <w:sz w:val="20"/>
              </w:rPr>
              <w:t>Revisão de políticas de preço, descontos, brindes e bonificações; revisão de contratos.</w:t>
            </w:r>
          </w:p>
        </w:tc>
      </w:tr>
      <w:tr>
        <w:tc>
          <w:tcPr>
            <w:tcW w:type="dxa" w:w="2268"/>
          </w:tcPr>
          <w:p>
            <w:r/>
            <w:r>
              <w:rPr>
                <w:sz w:val="20"/>
              </w:rPr>
              <w:t>Compras / Suprimentos</w:t>
            </w:r>
          </w:p>
        </w:tc>
        <w:tc>
          <w:tcPr>
            <w:tcW w:type="dxa" w:w="6803"/>
          </w:tcPr>
          <w:p>
            <w:r/>
            <w:r>
              <w:rPr>
                <w:sz w:val="20"/>
              </w:rPr>
              <w:t>Verificação da idoneidade fiscal dos fornecedores; controle de créditos.</w:t>
            </w:r>
          </w:p>
        </w:tc>
      </w:tr>
      <w:tr>
        <w:tc>
          <w:tcPr>
            <w:tcW w:type="dxa" w:w="2268"/>
          </w:tcPr>
          <w:p>
            <w:r/>
            <w:r>
              <w:rPr>
                <w:sz w:val="20"/>
              </w:rPr>
              <w:t>Jurídico</w:t>
            </w:r>
          </w:p>
        </w:tc>
        <w:tc>
          <w:tcPr>
            <w:tcW w:type="dxa" w:w="6803"/>
          </w:tcPr>
          <w:p>
            <w:r/>
            <w:r>
              <w:rPr>
                <w:sz w:val="20"/>
              </w:rPr>
              <w:t>Revisão de contratos de longo prazo; cláusulas de repasse tributário; opção de regimes transitórios imobiliários.</w:t>
            </w:r>
          </w:p>
        </w:tc>
      </w:tr>
      <w:tr>
        <w:tc>
          <w:tcPr>
            <w:tcW w:type="dxa" w:w="2268"/>
          </w:tcPr>
          <w:p>
            <w:r/>
            <w:r>
              <w:rPr>
                <w:sz w:val="20"/>
              </w:rPr>
              <w:t>Controladoria</w:t>
            </w:r>
          </w:p>
        </w:tc>
        <w:tc>
          <w:tcPr>
            <w:tcW w:type="dxa" w:w="6803"/>
          </w:tcPr>
          <w:p>
            <w:r/>
            <w:r>
              <w:rPr>
                <w:sz w:val="20"/>
              </w:rPr>
              <w:t>Modelagem do impacto na carga tributária; projeção de fluxo de caixa; análise do redutor imobiliário.</w:t>
            </w:r>
          </w:p>
        </w:tc>
      </w:tr>
      <w:tr>
        <w:tc>
          <w:tcPr>
            <w:tcW w:type="dxa" w:w="2268"/>
          </w:tcPr>
          <w:p>
            <w:r/>
            <w:r>
              <w:rPr>
                <w:sz w:val="20"/>
              </w:rPr>
              <w:t>Recursos Humanos</w:t>
            </w:r>
          </w:p>
        </w:tc>
        <w:tc>
          <w:tcPr>
            <w:tcW w:type="dxa" w:w="6803"/>
          </w:tcPr>
          <w:p>
            <w:r/>
            <w:r>
              <w:rPr>
                <w:sz w:val="20"/>
              </w:rPr>
              <w:t>Atenção aos planos de saúde e benefícios educacionais; tratamento de fornecimentos a sócios e empregados.</w:t>
            </w:r>
          </w:p>
        </w:tc>
      </w:tr>
    </w:tbl>
    <w:p/>
    <w:p>
      <w:pPr>
        <w:spacing w:before="360" w:after="160"/>
      </w:pPr>
      <w:r>
        <w:rPr>
          <w:b/>
          <w:color w:val="0B3D91"/>
          <w:sz w:val="40"/>
        </w:rPr>
        <w:t>5. Alertas Críticos para Implementação</w:t>
      </w:r>
    </w:p>
    <w:tbl>
      <w:tblPr>
        <w:tblW w:type="auto" w:w="0"/>
        <w:tblLook w:firstColumn="1" w:firstRow="1" w:lastColumn="0" w:lastRow="0" w:noHBand="0" w:noVBand="1" w:val="04A0"/>
      </w:tblPr>
      <w:tblGrid>
        <w:gridCol w:w="9689"/>
      </w:tblGrid>
      <w:tr>
        <w:tc>
          <w:tcPr>
            <w:tcW w:type="dxa" w:w="9689"/>
            <w:shd w:val="clear" w:color="auto" w:fill="FBE5D6"/>
          </w:tcPr>
          <w:p>
            <w:r/>
            <w:r>
              <w:rPr>
                <w:b/>
                <w:sz w:val="20"/>
              </w:rPr>
              <w:t>✖ RISCO RELEVANTE</w:t>
            </w:r>
          </w:p>
          <w:p>
            <w:r>
              <w:rPr>
                <w:sz w:val="22"/>
              </w:rPr>
              <w:t>1. Saldo credor de CBS em 31/12/2026 será desconsiderado para fins de apuração em 2027 (art. 465). Empresas devem evitar acúmulo de créditos durante o exercício de teste.</w:t>
            </w:r>
          </w:p>
        </w:tc>
      </w:tr>
    </w:tbl>
    <w:p/>
    <w:tbl>
      <w:tblPr>
        <w:tblW w:type="auto" w:w="0"/>
        <w:tblLook w:firstColumn="1" w:firstRow="1" w:lastColumn="0" w:lastRow="0" w:noHBand="0" w:noVBand="1" w:val="04A0"/>
      </w:tblPr>
      <w:tblGrid>
        <w:gridCol w:w="9689"/>
      </w:tblGrid>
      <w:tr>
        <w:tc>
          <w:tcPr>
            <w:tcW w:type="dxa" w:w="9689"/>
            <w:shd w:val="clear" w:color="auto" w:fill="FFF2CC"/>
          </w:tcPr>
          <w:p>
            <w:r/>
            <w:r>
              <w:rPr>
                <w:b/>
                <w:sz w:val="20"/>
              </w:rPr>
              <w:t>⚠ ATENÇÃO</w:t>
            </w:r>
          </w:p>
          <w:p>
            <w:r>
              <w:rPr>
                <w:sz w:val="22"/>
              </w:rPr>
              <w:t>2. Inventário em 31/12/2026 é obrigatório para apropriação do crédito presumido sobre estoque de abertura (art. 605 a 611). Documentação fiscal idônea deve ser preservada.</w:t>
            </w:r>
          </w:p>
        </w:tc>
      </w:tr>
    </w:tbl>
    <w:p/>
    <w:tbl>
      <w:tblPr>
        <w:tblW w:type="auto" w:w="0"/>
        <w:tblLook w:firstColumn="1" w:firstRow="1" w:lastColumn="0" w:lastRow="0" w:noHBand="0" w:noVBand="1" w:val="04A0"/>
      </w:tblPr>
      <w:tblGrid>
        <w:gridCol w:w="9689"/>
      </w:tblGrid>
      <w:tr>
        <w:tc>
          <w:tcPr>
            <w:tcW w:type="dxa" w:w="9689"/>
            <w:shd w:val="clear" w:color="auto" w:fill="FFF2CC"/>
          </w:tcPr>
          <w:p>
            <w:r/>
            <w:r>
              <w:rPr>
                <w:b/>
                <w:sz w:val="20"/>
              </w:rPr>
              <w:t>⚠ ATENÇÃO</w:t>
            </w:r>
          </w:p>
          <w:p>
            <w:r>
              <w:rPr>
                <w:sz w:val="22"/>
              </w:rPr>
              <w:t>3. Adequação tecnológica imediata é necessária para integração com a plataforma pública de split payment, sob pena de comprometimento da regularidade fiscal e da extinção dos débitos.</w:t>
            </w:r>
          </w:p>
        </w:tc>
      </w:tr>
    </w:tbl>
    <w:p/>
    <w:tbl>
      <w:tblPr>
        <w:tblW w:type="auto" w:w="0"/>
        <w:tblLook w:firstColumn="1" w:firstRow="1" w:lastColumn="0" w:lastRow="0" w:noHBand="0" w:noVBand="1" w:val="04A0"/>
      </w:tblPr>
      <w:tblGrid>
        <w:gridCol w:w="9689"/>
      </w:tblGrid>
      <w:tr>
        <w:tc>
          <w:tcPr>
            <w:tcW w:type="dxa" w:w="9689"/>
            <w:shd w:val="clear" w:color="auto" w:fill="FFF2CC"/>
          </w:tcPr>
          <w:p>
            <w:r/>
            <w:r>
              <w:rPr>
                <w:b/>
                <w:sz w:val="20"/>
              </w:rPr>
              <w:t>⚠ ATENÇÃO</w:t>
            </w:r>
          </w:p>
          <w:p>
            <w:r>
              <w:rPr>
                <w:sz w:val="22"/>
              </w:rPr>
              <w:t>4. Operações imobiliárias firmadas até 16/01/2025 podem optar pelos regimes transitórios dos art. 461 a 463 — decisão irretratável, exige análise específica.</w:t>
            </w:r>
          </w:p>
        </w:tc>
      </w:tr>
    </w:tbl>
    <w:p/>
    <w:tbl>
      <w:tblPr>
        <w:tblW w:type="auto" w:w="0"/>
        <w:tblLook w:firstColumn="1" w:firstRow="1" w:lastColumn="0" w:lastRow="0" w:noHBand="0" w:noVBand="1" w:val="04A0"/>
      </w:tblPr>
      <w:tblGrid>
        <w:gridCol w:w="9689"/>
      </w:tblGrid>
      <w:tr>
        <w:tc>
          <w:tcPr>
            <w:tcW w:type="dxa" w:w="9689"/>
            <w:shd w:val="clear" w:color="auto" w:fill="DDEBF7"/>
          </w:tcPr>
          <w:p>
            <w:r/>
            <w:r>
              <w:rPr>
                <w:b/>
                <w:sz w:val="20"/>
              </w:rPr>
              <w:t>ℹ INFORMAÇÃO TÉCNICA</w:t>
            </w:r>
          </w:p>
          <w:p>
            <w:r>
              <w:rPr>
                <w:sz w:val="22"/>
              </w:rPr>
              <w:t>5. Diversos dispositivos remetem a atos conjuntos RFB/CGIBS ainda pendentes. Acompanhamento contínuo do Diário Oficial é imprescindível.</w:t>
            </w:r>
          </w:p>
        </w:tc>
      </w:tr>
    </w:tbl>
    <w:p/>
    <w:p>
      <w:pPr>
        <w:spacing w:before="360" w:after="160"/>
      </w:pPr>
      <w:r>
        <w:rPr>
          <w:b/>
          <w:color w:val="0B3D91"/>
          <w:sz w:val="40"/>
        </w:rPr>
        <w:t>6. Cronograma Sugerido de Implementação</w:t>
      </w:r>
    </w:p>
    <w:tbl>
      <w:tblPr>
        <w:tblStyle w:val="LightGrid-Accent1"/>
        <w:tblW w:type="auto" w:w="0"/>
        <w:tblLook w:firstColumn="1" w:firstRow="1" w:lastColumn="0" w:lastRow="0" w:noHBand="0" w:noVBand="1" w:val="04A0"/>
      </w:tblPr>
      <w:tblGrid>
        <w:gridCol w:w="3230"/>
        <w:gridCol w:w="3230"/>
        <w:gridCol w:w="3230"/>
      </w:tblGrid>
      <w:tr>
        <w:tc>
          <w:tcPr>
            <w:tcW w:type="dxa" w:w="2268"/>
            <w:shd w:val="clear" w:color="auto" w:fill="0B3D91"/>
          </w:tcPr>
          <w:p>
            <w:r/>
            <w:r>
              <w:rPr>
                <w:b/>
                <w:color w:val="FFFFFF"/>
                <w:sz w:val="20"/>
              </w:rPr>
              <w:t>Fase</w:t>
            </w:r>
          </w:p>
        </w:tc>
        <w:tc>
          <w:tcPr>
            <w:tcW w:type="dxa" w:w="2268"/>
            <w:shd w:val="clear" w:color="auto" w:fill="0B3D91"/>
          </w:tcPr>
          <w:p>
            <w:r/>
            <w:r>
              <w:rPr>
                <w:b/>
                <w:color w:val="FFFFFF"/>
                <w:sz w:val="20"/>
              </w:rPr>
              <w:t>Período</w:t>
            </w:r>
          </w:p>
        </w:tc>
        <w:tc>
          <w:tcPr>
            <w:tcW w:type="dxa" w:w="6236"/>
            <w:shd w:val="clear" w:color="auto" w:fill="0B3D91"/>
          </w:tcPr>
          <w:p>
            <w:r/>
            <w:r>
              <w:rPr>
                <w:b/>
                <w:color w:val="FFFFFF"/>
                <w:sz w:val="20"/>
              </w:rPr>
              <w:t>Atividades-Chave</w:t>
            </w:r>
          </w:p>
        </w:tc>
      </w:tr>
      <w:tr>
        <w:tc>
          <w:tcPr>
            <w:tcW w:type="dxa" w:w="2268"/>
          </w:tcPr>
          <w:p>
            <w:r/>
            <w:r>
              <w:rPr>
                <w:sz w:val="20"/>
              </w:rPr>
              <w:t>Fase 1 — Diagnóstico</w:t>
            </w:r>
          </w:p>
        </w:tc>
        <w:tc>
          <w:tcPr>
            <w:tcW w:type="dxa" w:w="2268"/>
          </w:tcPr>
          <w:p>
            <w:r/>
            <w:r>
              <w:rPr>
                <w:sz w:val="20"/>
              </w:rPr>
              <w:t>Maio a Julho/2026</w:t>
            </w:r>
          </w:p>
        </w:tc>
        <w:tc>
          <w:tcPr>
            <w:tcW w:type="dxa" w:w="6236"/>
          </w:tcPr>
          <w:p>
            <w:r/>
            <w:r>
              <w:rPr>
                <w:sz w:val="20"/>
              </w:rPr>
              <w:t>Constituir Comitê; mapear NCM/NBS; revisar contratos; avaliar opções de transição imobiliária; alinhar fornecedores ERP.</w:t>
            </w:r>
          </w:p>
        </w:tc>
      </w:tr>
      <w:tr>
        <w:tc>
          <w:tcPr>
            <w:tcW w:type="dxa" w:w="2268"/>
          </w:tcPr>
          <w:p>
            <w:r/>
            <w:r>
              <w:rPr>
                <w:sz w:val="20"/>
              </w:rPr>
              <w:t>Fase 2 — Adequação</w:t>
            </w:r>
          </w:p>
        </w:tc>
        <w:tc>
          <w:tcPr>
            <w:tcW w:type="dxa" w:w="2268"/>
          </w:tcPr>
          <w:p>
            <w:r/>
            <w:r>
              <w:rPr>
                <w:sz w:val="20"/>
              </w:rPr>
              <w:t>Agosto a Outubro/2026</w:t>
            </w:r>
          </w:p>
        </w:tc>
        <w:tc>
          <w:tcPr>
            <w:tcW w:type="dxa" w:w="6236"/>
          </w:tcPr>
          <w:p>
            <w:r/>
            <w:r>
              <w:rPr>
                <w:sz w:val="20"/>
              </w:rPr>
              <w:t>Customizar ERP; cadastro CIB; testes em ambiente de homologação; treinar áreas; contratação de consultoria.</w:t>
            </w:r>
          </w:p>
        </w:tc>
      </w:tr>
      <w:tr>
        <w:tc>
          <w:tcPr>
            <w:tcW w:type="dxa" w:w="2268"/>
          </w:tcPr>
          <w:p>
            <w:r/>
            <w:r>
              <w:rPr>
                <w:sz w:val="20"/>
              </w:rPr>
              <w:t>Fase 3 — Operação Assistida</w:t>
            </w:r>
          </w:p>
        </w:tc>
        <w:tc>
          <w:tcPr>
            <w:tcW w:type="dxa" w:w="2268"/>
          </w:tcPr>
          <w:p>
            <w:r/>
            <w:r>
              <w:rPr>
                <w:sz w:val="20"/>
              </w:rPr>
              <w:t>Novembro/2026 a Abril/2027</w:t>
            </w:r>
          </w:p>
        </w:tc>
        <w:tc>
          <w:tcPr>
            <w:tcW w:type="dxa" w:w="6236"/>
          </w:tcPr>
          <w:p>
            <w:r/>
            <w:r>
              <w:rPr>
                <w:sz w:val="20"/>
              </w:rPr>
              <w:t>Apuração paralela em 2026; ajustes finos; preparação para 2027; encerramento de saldos.</w:t>
            </w:r>
          </w:p>
        </w:tc>
      </w:tr>
      <w:tr>
        <w:tc>
          <w:tcPr>
            <w:tcW w:type="dxa" w:w="2268"/>
          </w:tcPr>
          <w:p>
            <w:r/>
            <w:r>
              <w:rPr>
                <w:sz w:val="20"/>
              </w:rPr>
              <w:t>Fase 4 — Transição Plena</w:t>
            </w:r>
          </w:p>
        </w:tc>
        <w:tc>
          <w:tcPr>
            <w:tcW w:type="dxa" w:w="2268"/>
          </w:tcPr>
          <w:p>
            <w:r/>
            <w:r>
              <w:rPr>
                <w:sz w:val="20"/>
              </w:rPr>
              <w:t>Maio/2027 a Dezembro/2032</w:t>
            </w:r>
          </w:p>
        </w:tc>
        <w:tc>
          <w:tcPr>
            <w:tcW w:type="dxa" w:w="6236"/>
          </w:tcPr>
          <w:p>
            <w:r/>
            <w:r>
              <w:rPr>
                <w:sz w:val="20"/>
              </w:rPr>
              <w:t>Operação em regime regular; ajustes anuais conforme alíquota de referência; encerramento gradual de PIS/COFINS.</w:t>
            </w:r>
          </w:p>
        </w:tc>
      </w:tr>
      <w:tr>
        <w:tc>
          <w:tcPr>
            <w:tcW w:type="dxa" w:w="2268"/>
          </w:tcPr>
          <w:p>
            <w:r/>
            <w:r>
              <w:rPr>
                <w:sz w:val="20"/>
              </w:rPr>
              <w:t>Fase 5 — Regime Permanente</w:t>
            </w:r>
          </w:p>
        </w:tc>
        <w:tc>
          <w:tcPr>
            <w:tcW w:type="dxa" w:w="2268"/>
          </w:tcPr>
          <w:p>
            <w:r/>
            <w:r>
              <w:rPr>
                <w:sz w:val="20"/>
              </w:rPr>
              <w:t>A partir de 2033</w:t>
            </w:r>
          </w:p>
        </w:tc>
        <w:tc>
          <w:tcPr>
            <w:tcW w:type="dxa" w:w="6236"/>
          </w:tcPr>
          <w:p>
            <w:r/>
            <w:r>
              <w:rPr>
                <w:sz w:val="20"/>
              </w:rPr>
              <w:t>CBS/IBS plenos; encerramento dos regimes incentivados temporários.</w:t>
            </w:r>
          </w:p>
        </w:tc>
      </w:tr>
    </w:tbl>
    <w:p/>
    <w:p>
      <w:pPr>
        <w:spacing w:before="360" w:after="160"/>
      </w:pPr>
      <w:r>
        <w:rPr>
          <w:b/>
          <w:color w:val="0B3D91"/>
          <w:sz w:val="40"/>
        </w:rPr>
        <w:t>7. Conclusão Executiva</w:t>
      </w:r>
    </w:p>
    <w:p>
      <w:pPr>
        <w:jc w:val="both"/>
      </w:pPr>
      <w:r>
        <w:rPr>
          <w:b w:val="0"/>
          <w:i w:val="0"/>
        </w:rPr>
        <w:t>O Decreto nº 12.955/2026 representa o mais relevante marco regulatório tributário da última década, exigindo das empresas brasileiras mobilização imediata, estruturada e multidisciplinar. Os 240 dias antecedentes a 1º de janeiro de 2027 são determinantes para preservação de créditos, adequação tecnológica e renegociação contratual.</w:t>
      </w:r>
    </w:p>
    <w:p>
      <w:pPr>
        <w:jc w:val="both"/>
      </w:pPr>
      <w:r>
        <w:rPr>
          <w:b w:val="0"/>
          <w:i w:val="0"/>
        </w:rPr>
        <w:t>A correta interpretação do regulamento exige leitura combinada da LC 214/2025, do próprio decreto, dos atos conjuntos da RFB e do CGIBS que continuarão sendo publicados, e da jurisprudência administrativa que se consolidará nos próximos anos.</w:t>
      </w:r>
    </w:p>
    <w:p>
      <w:pPr>
        <w:jc w:val="both"/>
      </w:pPr>
      <w:r>
        <w:rPr>
          <w:b w:val="0"/>
          <w:i w:val="0"/>
        </w:rPr>
        <w:t>Recomenda-se a constituição imediata de Comitê Interno de Reforma Tributária com representação multidisciplinar, monitoramento contínuo do Diário Oficial da União e dos comunicados da RFB e do CGIBS, e aderência ao Programa Nacional de Conformidade Tributária (PNCT — art. 471-A da LC 214/2025) como fator de mitigação de risco.</w:t>
      </w:r>
    </w:p>
    <w:p/>
    <w:p>
      <w:pPr>
        <w:jc w:val="center"/>
      </w:pPr>
      <w:r>
        <w:t>──────────────────────────────────────────────────</w:t>
      </w:r>
    </w:p>
    <w:p>
      <w:pPr>
        <w:jc w:val="center"/>
      </w:pPr>
      <w:r>
        <w:rPr>
          <w:i/>
          <w:color w:val="595959"/>
          <w:sz w:val="18"/>
        </w:rPr>
        <w:t>Documento técnico elaborado com base no Decreto nº 12.955, de 29/04/2026.</w:t>
        <w:br/>
      </w:r>
      <w:r>
        <w:rPr>
          <w:i/>
          <w:color w:val="595959"/>
          <w:sz w:val="18"/>
        </w:rPr>
        <w:t>Sujeito a ajustes em razão de atos normativos complementares (RFB/CGIBS) ainda pendentes de publicação.</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