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br/>
        <w:br/>
        <w:t>REFORMA TRIBUTÁRIA — CBS</w:t>
      </w:r>
    </w:p>
    <w:p>
      <w:pPr>
        <w:jc w:val="center"/>
      </w:pPr>
      <w:r>
        <w:rPr>
          <w:i/>
          <w:color w:val="595959"/>
          <w:sz w:val="26"/>
        </w:rPr>
        <w:t>Decreto nº 12.955, de 29 de abril de 2026</w:t>
      </w:r>
    </w:p>
    <w:p>
      <w:pPr>
        <w:jc w:val="center"/>
      </w:pPr>
      <w:r>
        <w:rPr>
          <w:b/>
          <w:color w:val="0B3D91"/>
          <w:sz w:val="56"/>
        </w:rPr>
        <w:br/>
        <w:br/>
        <w:t>Parecer Técnico Integral</w:t>
        <w:br/>
      </w:r>
    </w:p>
    <w:p>
      <w:pPr>
        <w:jc w:val="center"/>
      </w:pPr>
      <w:r>
        <w:rPr>
          <w:color w:val="1F4E79"/>
          <w:sz w:val="28"/>
        </w:rPr>
        <w:t>Análise estruturada do Decreto nº 12.955/2026 — CBS</w:t>
      </w:r>
    </w:p>
    <w:p/>
    <w:p/>
    <w:p/>
    <w:p/>
    <w:p/>
    <w:p/>
    <w:tbl>
      <w:tblPr>
        <w:tblStyle w:val="LightShading-Accent1"/>
        <w:tblW w:type="auto" w:w="0"/>
        <w:tblLook w:firstColumn="1" w:firstRow="1" w:lastColumn="0" w:lastRow="0" w:noHBand="0" w:noVBand="1" w:val="04A0"/>
      </w:tblPr>
      <w:tblGrid>
        <w:gridCol w:w="4844"/>
        <w:gridCol w:w="4844"/>
      </w:tblGrid>
      <w:tr>
        <w:tc>
          <w:tcPr>
            <w:tcW w:type="dxa" w:w="4844"/>
          </w:tcPr>
          <w:p>
            <w:r>
              <w:rPr>
                <w:b/>
              </w:rPr>
              <w:t>Código do Documento</w:t>
            </w:r>
          </w:p>
        </w:tc>
        <w:tc>
          <w:tcPr>
            <w:tcW w:type="dxa" w:w="4844"/>
          </w:tcPr>
          <w:p>
            <w:r>
              <w:t>DOC-01-PARECER</w:t>
            </w:r>
          </w:p>
        </w:tc>
      </w:tr>
      <w:tr>
        <w:tc>
          <w:tcPr>
            <w:tcW w:type="dxa" w:w="4844"/>
          </w:tcPr>
          <w:p>
            <w:r>
              <w:rPr>
                <w:b/>
              </w:rPr>
              <w:t>Data de Elaboração</w:t>
            </w:r>
          </w:p>
        </w:tc>
        <w:tc>
          <w:tcPr>
            <w:tcW w:type="dxa" w:w="4844"/>
          </w:tcPr>
          <w:p>
            <w:r>
              <w:t>30/04/2026</w:t>
            </w:r>
          </w:p>
        </w:tc>
      </w:tr>
      <w:tr>
        <w:tc>
          <w:tcPr>
            <w:tcW w:type="dxa" w:w="4844"/>
          </w:tcPr>
          <w:p>
            <w:r>
              <w:rPr>
                <w:b/>
              </w:rPr>
              <w:t>Autor Técnico</w:t>
            </w:r>
          </w:p>
        </w:tc>
        <w:tc>
          <w:tcPr>
            <w:tcW w:type="dxa" w:w="4844"/>
          </w:tcPr>
          <w:p>
            <w:r>
              <w:t>ALLAN MARCIO — Consultor Tributário Sênior</w:t>
            </w:r>
          </w:p>
        </w:tc>
      </w:tr>
      <w:tr>
        <w:tc>
          <w:tcPr>
            <w:tcW w:type="dxa" w:w="4844"/>
          </w:tcPr>
          <w:p>
            <w:r>
              <w:rPr>
                <w:b/>
              </w:rPr>
              <w:t>Base Normativa</w:t>
            </w:r>
          </w:p>
        </w:tc>
        <w:tc>
          <w:tcPr>
            <w:tcW w:type="dxa" w:w="4844"/>
          </w:tcPr>
          <w:p>
            <w:r>
              <w:t>LC 214/2025; Decreto nº 12.955/2026; EC 132/2023</w:t>
            </w:r>
          </w:p>
        </w:tc>
      </w:tr>
    </w:tbl>
    <w:p>
      <w:r>
        <w:br w:type="page"/>
      </w:r>
    </w:p>
    <w:p>
      <w:pPr>
        <w:spacing w:before="360" w:after="160"/>
      </w:pPr>
      <w:r>
        <w:rPr>
          <w:b/>
          <w:color w:val="0B3D91"/>
          <w:sz w:val="40"/>
        </w:rPr>
        <w:t>I. Identificação do Diploma Normativo</w:t>
      </w:r>
    </w:p>
    <w:tbl>
      <w:tblPr>
        <w:tblStyle w:val="LightGrid-Accent1"/>
        <w:tblW w:type="auto" w:w="0"/>
        <w:tblLook w:firstColumn="1" w:firstRow="1" w:lastColumn="0" w:lastRow="0" w:noHBand="0" w:noVBand="1" w:val="04A0"/>
      </w:tblPr>
      <w:tblGrid>
        <w:gridCol w:w="4844"/>
        <w:gridCol w:w="4844"/>
      </w:tblGrid>
      <w:tr>
        <w:tc>
          <w:tcPr>
            <w:tcW w:type="dxa" w:w="2835"/>
            <w:shd w:val="clear" w:color="auto" w:fill="0B3D91"/>
          </w:tcPr>
          <w:p>
            <w:r/>
            <w:r>
              <w:rPr>
                <w:b/>
                <w:color w:val="FFFFFF"/>
                <w:sz w:val="20"/>
              </w:rPr>
              <w:t>Atributo</w:t>
            </w:r>
          </w:p>
        </w:tc>
        <w:tc>
          <w:tcPr>
            <w:tcW w:type="dxa" w:w="6236"/>
            <w:shd w:val="clear" w:color="auto" w:fill="0B3D91"/>
          </w:tcPr>
          <w:p>
            <w:r/>
            <w:r>
              <w:rPr>
                <w:b/>
                <w:color w:val="FFFFFF"/>
                <w:sz w:val="20"/>
              </w:rPr>
              <w:t>Conteúdo</w:t>
            </w:r>
          </w:p>
        </w:tc>
      </w:tr>
      <w:tr>
        <w:tc>
          <w:tcPr>
            <w:tcW w:type="dxa" w:w="2835"/>
          </w:tcPr>
          <w:p>
            <w:r/>
            <w:r>
              <w:rPr>
                <w:sz w:val="20"/>
              </w:rPr>
              <w:t>Norma</w:t>
            </w:r>
          </w:p>
        </w:tc>
        <w:tc>
          <w:tcPr>
            <w:tcW w:type="dxa" w:w="6236"/>
          </w:tcPr>
          <w:p>
            <w:r/>
            <w:r>
              <w:rPr>
                <w:sz w:val="20"/>
              </w:rPr>
              <w:t>Decreto nº 12.955, de 29 de abril de 2026</w:t>
            </w:r>
          </w:p>
        </w:tc>
      </w:tr>
      <w:tr>
        <w:tc>
          <w:tcPr>
            <w:tcW w:type="dxa" w:w="2835"/>
          </w:tcPr>
          <w:p>
            <w:r/>
            <w:r>
              <w:rPr>
                <w:sz w:val="20"/>
              </w:rPr>
              <w:t>Publicação</w:t>
            </w:r>
          </w:p>
        </w:tc>
        <w:tc>
          <w:tcPr>
            <w:tcW w:type="dxa" w:w="6236"/>
          </w:tcPr>
          <w:p>
            <w:r/>
            <w:r>
              <w:rPr>
                <w:sz w:val="20"/>
              </w:rPr>
              <w:t>DOU 30/04/2026, Edição 80, Seção 1, p. 2</w:t>
            </w:r>
          </w:p>
        </w:tc>
      </w:tr>
      <w:tr>
        <w:tc>
          <w:tcPr>
            <w:tcW w:type="dxa" w:w="2835"/>
          </w:tcPr>
          <w:p>
            <w:r/>
            <w:r>
              <w:rPr>
                <w:sz w:val="20"/>
              </w:rPr>
              <w:t>Órgão Editor</w:t>
            </w:r>
          </w:p>
        </w:tc>
        <w:tc>
          <w:tcPr>
            <w:tcW w:type="dxa" w:w="6236"/>
          </w:tcPr>
          <w:p>
            <w:r/>
            <w:r>
              <w:rPr>
                <w:sz w:val="20"/>
              </w:rPr>
              <w:t>Presidência da República (assinatura: Luiz Inácio Lula da Silva; Min. Fazenda: Dario Carnevalli Durigan)</w:t>
            </w:r>
          </w:p>
        </w:tc>
      </w:tr>
      <w:tr>
        <w:tc>
          <w:tcPr>
            <w:tcW w:type="dxa" w:w="2835"/>
          </w:tcPr>
          <w:p>
            <w:r/>
            <w:r>
              <w:rPr>
                <w:sz w:val="20"/>
              </w:rPr>
              <w:t>Fundamento</w:t>
            </w:r>
          </w:p>
        </w:tc>
        <w:tc>
          <w:tcPr>
            <w:tcW w:type="dxa" w:w="6236"/>
          </w:tcPr>
          <w:p>
            <w:r/>
            <w:r>
              <w:rPr>
                <w:sz w:val="20"/>
              </w:rPr>
              <w:t>Art. 84, IV, CF; LC 214/2025</w:t>
            </w:r>
          </w:p>
        </w:tc>
      </w:tr>
      <w:tr>
        <w:tc>
          <w:tcPr>
            <w:tcW w:type="dxa" w:w="2835"/>
          </w:tcPr>
          <w:p>
            <w:r/>
            <w:r>
              <w:rPr>
                <w:sz w:val="20"/>
              </w:rPr>
              <w:t>Estrutura</w:t>
            </w:r>
          </w:p>
        </w:tc>
        <w:tc>
          <w:tcPr>
            <w:tcW w:type="dxa" w:w="6236"/>
          </w:tcPr>
          <w:p>
            <w:r/>
            <w:r>
              <w:rPr>
                <w:sz w:val="20"/>
              </w:rPr>
              <w:t>3 Livros, 13 Títulos, 620 artigos e 5 Anexos</w:t>
            </w:r>
          </w:p>
        </w:tc>
      </w:tr>
      <w:tr>
        <w:tc>
          <w:tcPr>
            <w:tcW w:type="dxa" w:w="2835"/>
          </w:tcPr>
          <w:p>
            <w:r/>
            <w:r>
              <w:rPr>
                <w:sz w:val="20"/>
              </w:rPr>
              <w:t>Vigência</w:t>
            </w:r>
          </w:p>
        </w:tc>
        <w:tc>
          <w:tcPr>
            <w:tcW w:type="dxa" w:w="6236"/>
          </w:tcPr>
          <w:p>
            <w:r/>
            <w:r>
              <w:rPr>
                <w:sz w:val="20"/>
              </w:rPr>
              <w:t>Data da publicação (30/04/2026), com produção de efeitos diferida em parte para 01/01/2027</w:t>
            </w:r>
          </w:p>
        </w:tc>
      </w:tr>
      <w:tr>
        <w:tc>
          <w:tcPr>
            <w:tcW w:type="dxa" w:w="2835"/>
          </w:tcPr>
          <w:p>
            <w:r/>
            <w:r>
              <w:rPr>
                <w:sz w:val="20"/>
              </w:rPr>
              <w:t>Tributo regulamentado</w:t>
            </w:r>
          </w:p>
        </w:tc>
        <w:tc>
          <w:tcPr>
            <w:tcW w:type="dxa" w:w="6236"/>
          </w:tcPr>
          <w:p>
            <w:r/>
            <w:r>
              <w:rPr>
                <w:sz w:val="20"/>
              </w:rPr>
              <w:t>CBS — Contribuição Social sobre Bens e Serviços</w:t>
            </w:r>
          </w:p>
        </w:tc>
      </w:tr>
    </w:tbl>
    <w:p/>
    <w:p>
      <w:pPr>
        <w:spacing w:before="360" w:after="160"/>
      </w:pPr>
      <w:r>
        <w:rPr>
          <w:b/>
          <w:color w:val="0B3D91"/>
          <w:sz w:val="40"/>
        </w:rPr>
        <w:t>II. Objeto e Finalidade</w:t>
      </w:r>
    </w:p>
    <w:p>
      <w:pPr>
        <w:jc w:val="both"/>
      </w:pPr>
      <w:r>
        <w:rPr>
          <w:b w:val="0"/>
          <w:i w:val="0"/>
        </w:rPr>
        <w:t>O Decreto nº 12.955/2026 constitui o regulamento da Contribuição Social sobre Bens e Serviços (CBS), tributo de competência da União, instituído com fundamento no art. 195, inciso V, da Constituição Federal (com redação dada pela EC 132/2023) e na Lei Complementar nº 214, de 16 de janeiro de 2025. Sua finalidade é estabelecer as normas operacionais aplicáveis ao novo modelo de tributação sobre o consumo, que substituirá, ao final do período de transição, a contribuição para o PIS/PASEP e a COFINS.</w:t>
      </w:r>
    </w:p>
    <w:p>
      <w:pPr>
        <w:jc w:val="both"/>
      </w:pPr>
      <w:r>
        <w:rPr>
          <w:b w:val="0"/>
          <w:i w:val="0"/>
        </w:rPr>
        <w:t>O regulamento adota, para grande parte de seus institutos, a mesma sistemática prevista para o IBS (Imposto sobre Bens e Serviços) de competência estadual e municipal, em razão da convergência normativa entre os dois tributos prevista na própria EC 132/2023, que estabeleceu o paralelismo entre CBS e IBS para conferir simetria operacional ao chamado IVA Dual Brasileiro.</w:t>
      </w:r>
    </w:p>
    <w:p>
      <w:pPr>
        <w:spacing w:before="360" w:after="160"/>
      </w:pPr>
      <w:r>
        <w:rPr>
          <w:b/>
          <w:color w:val="0B3D91"/>
          <w:sz w:val="40"/>
        </w:rPr>
        <w:t>III. Metodologia Interpretativa</w:t>
      </w:r>
    </w:p>
    <w:p>
      <w:pPr>
        <w:jc w:val="both"/>
      </w:pPr>
      <w:r>
        <w:rPr>
          <w:b w:val="0"/>
          <w:i w:val="0"/>
        </w:rPr>
        <w:t>Adotou-se a hierarquia normativa em ordem decrescente: Constituição (com a EC 132/2023) &gt; Lei Complementar 214/2025 &gt; Decreto 12.955/2026 &gt; Atos conjuntos RFB/CGIBS &gt; Atos administrativos isolados. A análise prioriza dispositivos com efeitos materiais imediatos e operacionalmente complexos, sinalizando atos infralegais ainda pendentes que poderão alterar a interpretação prática.</w:t>
      </w:r>
    </w:p>
    <w:tbl>
      <w:tblPr>
        <w:tblW w:type="auto" w:w="0"/>
        <w:tblLook w:firstColumn="1" w:firstRow="1" w:lastColumn="0" w:lastRow="0" w:noHBand="0" w:noVBand="1" w:val="04A0"/>
      </w:tblPr>
      <w:tblGrid>
        <w:gridCol w:w="9689"/>
      </w:tblGrid>
      <w:tr>
        <w:tc>
          <w:tcPr>
            <w:tcW w:type="dxa" w:w="9689"/>
            <w:shd w:val="clear" w:color="auto" w:fill="FFF2CC"/>
          </w:tcPr>
          <w:p>
            <w:r/>
            <w:r>
              <w:rPr>
                <w:b/>
                <w:sz w:val="20"/>
              </w:rPr>
              <w:t>⚠ ATENÇÃO</w:t>
            </w:r>
          </w:p>
          <w:p>
            <w:r>
              <w:rPr>
                <w:sz w:val="22"/>
              </w:rPr>
              <w:t>Diversos dispositivos do Decreto remetem a atos conjuntos da Receita Federal do Brasil (RFB) e do Comitê Gestor do IBS (CGIBS), que ainda serão editados. A produção de efeitos plenos depende dessa regulamentação complementar.</w:t>
            </w:r>
          </w:p>
        </w:tc>
      </w:tr>
    </w:tbl>
    <w:p/>
    <w:p>
      <w:pPr>
        <w:spacing w:before="360" w:after="160"/>
      </w:pPr>
      <w:r>
        <w:rPr>
          <w:b/>
          <w:color w:val="0B3D91"/>
          <w:sz w:val="40"/>
        </w:rPr>
        <w:t>IV. Análise Integral por Título do Decreto</w:t>
      </w:r>
    </w:p>
    <w:p>
      <w:pPr>
        <w:spacing w:before="240" w:after="120"/>
      </w:pPr>
      <w:r>
        <w:rPr>
          <w:b/>
          <w:color w:val="1F4E79"/>
          <w:sz w:val="30"/>
        </w:rPr>
        <w:t>Título I — Normas Comuns à CBS e ao IBS (art. 1º a 103)</w:t>
      </w:r>
    </w:p>
    <w:p>
      <w:pPr>
        <w:spacing w:before="160"/>
      </w:pPr>
      <w:r>
        <w:rPr>
          <w:b/>
          <w:color w:val="1F4E79"/>
          <w:sz w:val="24"/>
        </w:rPr>
        <w:t>Capítulo I — Disposições Preliminares (art. 1º a 3º)</w:t>
      </w:r>
    </w:p>
    <w:p>
      <w:pPr>
        <w:jc w:val="both"/>
      </w:pPr>
      <w:r>
        <w:rPr>
          <w:b w:val="0"/>
          <w:i w:val="0"/>
        </w:rPr>
        <w:t>Define operações com bens (móveis, imóveis, materiais e imateriais, inclusive direitos) e serviços (todas as demais), bem como os conceitos de fornecedor, adquirente, destinatário e crédito. Equipara energias com valor econômico a bens materiais. Inclui no conceito de fornecedor as entidades sem personalidade jurídica (sociedade em comum, SCP, consórcios, condomínios, fundos de investimento). Adota-se a NCM/SH (Resolução Gecex 272/2021) e a NBS (Portaria Conjunta RFB/SCS 2.000/2018) como referência classificatória.</w:t>
      </w:r>
    </w:p>
    <w:p>
      <w:pPr>
        <w:spacing w:before="160"/>
      </w:pPr>
      <w:r>
        <w:rPr>
          <w:b/>
          <w:color w:val="1F4E79"/>
          <w:sz w:val="24"/>
        </w:rPr>
        <w:t>Capítulo II — Hipóteses de Incidência e Não Incidência (art. 4º a 8º)</w:t>
      </w:r>
    </w:p>
    <w:p>
      <w:pPr>
        <w:jc w:val="both"/>
      </w:pPr>
      <w:r>
        <w:rPr>
          <w:b w:val="0"/>
          <w:i w:val="0"/>
        </w:rPr>
        <w:t>Estabelece-se a regra de incidência ampla: qualquer fornecimento oneroso, com indiferença quanto ao título jurídico da posse, à validade do ato, à obtenção de lucro ou ao cumprimento de exigências legais (art. 4º, §3º). A operação se considera ocorrida ainda quando envolva ativos não circulantes ou atividade econômica não habitual.</w:t>
      </w:r>
    </w:p>
    <w:p>
      <w:pPr>
        <w:jc w:val="both"/>
      </w:pPr>
      <w:r>
        <w:rPr>
          <w:b w:val="0"/>
          <w:i w:val="0"/>
        </w:rPr>
        <w:t>O art. 5º amplia a incidência para operações não onerosas: brindes, bonificações condicionadas a evento posterior, fornecimento gratuito a sócios, administradores, conselheiros, empregados e parentes até o terceiro grau, transmissão para devolução de capital ou dividendos in natura, e demais fornecimentos a partes relacionadas. O art. 6º exclui da incidência fornecimentos de pessoa física por relação de emprego, transferências entre estabelecimentos do mesmo contribuinte, baixa de participação societária, doações sem contraprestação, transferências para entidades sem fins lucrativos, dividendos e juros sobre capital próprio, e contribuições associativas estatutárias.</w:t>
      </w:r>
    </w:p>
    <w:p>
      <w:pPr>
        <w:spacing w:before="160"/>
      </w:pPr>
      <w:r>
        <w:rPr>
          <w:b/>
          <w:color w:val="1F4E79"/>
          <w:sz w:val="24"/>
        </w:rPr>
        <w:t>Capítulo III — Imunidades (art. 9º e 10)</w:t>
      </w:r>
    </w:p>
    <w:p>
      <w:pPr>
        <w:jc w:val="both"/>
      </w:pPr>
      <w:r>
        <w:rPr>
          <w:b w:val="0"/>
          <w:i w:val="0"/>
        </w:rPr>
        <w:t>São imunes à CBS as exportações (art. 9º) e os fornecimentos por entes públicos, entidades religiosas, partidos políticos, sindicatos, instituições de educação e assistência social sem fins lucrativos, livros/jornais/periódicos/papel para impressão, fonogramas/videofonogramas musicais brasileiros, radiodifusão sonora e de sons e imagens livre/gratuita, e ouro como ativo financeiro. As imunidades não alcançam as aquisições de bens e serviços feitas por essas entidades.</w:t>
      </w:r>
    </w:p>
    <w:p>
      <w:pPr>
        <w:spacing w:before="160"/>
      </w:pPr>
      <w:r>
        <w:rPr>
          <w:b/>
          <w:color w:val="1F4E79"/>
          <w:sz w:val="24"/>
        </w:rPr>
        <w:t>Capítulo IV — Fato Gerador, Local da Operação e Base de Cálculo (art. 11 a 16)</w:t>
      </w:r>
    </w:p>
    <w:p>
      <w:pPr>
        <w:jc w:val="both"/>
      </w:pPr>
      <w:r>
        <w:rPr>
          <w:b w:val="0"/>
          <w:i w:val="0"/>
        </w:rPr>
        <w:t>Considera-se ocorrido o fato gerador no momento do fornecimento, conforme natureza da operação (art. 11). Em compras governamentais, no momento do pagamento. Em operações de execução continuada ou fracionada, na primeira entre exigibilidade da contraprestação ou pagamento. Quando há pagamento antecipado, exigem-se antecipações com base nas alíquotas vigentes na emissão do documento fiscal ou no pagamento, e ajuste no momento do fornecimento.</w:t>
      </w:r>
    </w:p>
    <w:p>
      <w:pPr>
        <w:jc w:val="both"/>
      </w:pPr>
      <w:r>
        <w:rPr>
          <w:b w:val="0"/>
          <w:i w:val="0"/>
        </w:rPr>
        <w:t>O local da operação (art. 12) segue regra de destino, com previsões específicas para bem móvel, imóvel, serviços sobre pessoa física, transporte de passageiros e cargas, exploração de via mediante pedágio, telefonia, energia elétrica, gás canalizado e demais. A base de cálculo (art. 13) é o valor da operação, com inclusões (juros, multas, encargos, descontos condicionados, acréscimos, tributos suportados pelo fornecedor) e exclusões (CBS, IBS, IPI, descontos incondicionais, reembolsos por conta de terceiros, ICMS, ISS, PIS/COFINS, contribuição art. 149-A da CF). O art. 14 define base pelo valor de mercado em hipóteses específicas (falta de valor, valor não monetário, partes relacionadas), e o art. 16 permite arbitramento.</w:t>
      </w:r>
    </w:p>
    <w:p>
      <w:pPr>
        <w:spacing w:before="160"/>
      </w:pPr>
      <w:r>
        <w:rPr>
          <w:b/>
          <w:color w:val="1F4E79"/>
          <w:sz w:val="24"/>
        </w:rPr>
        <w:t>Capítulo V — Sujeição Passiva (art. 19 a 25)</w:t>
      </w:r>
    </w:p>
    <w:p>
      <w:pPr>
        <w:jc w:val="both"/>
      </w:pPr>
      <w:r>
        <w:rPr>
          <w:b w:val="0"/>
          <w:i w:val="0"/>
        </w:rPr>
        <w:t>São contribuintes da CBS o fornecedor que realiza operações no desenvolvimento de atividade econômica, de modo habitual ou em volume que caracterize atividade econômica, ou de forma profissional; o adquirente em licitações de bens apreendidos/abandonados ou leilão judicial; o importador; e demais previstos em hipóteses específicas. As plataformas digitais são responsáveis pelo pagamento da CBS em operações intermediadas (art. 20).</w:t>
      </w:r>
    </w:p>
    <w:p>
      <w:pPr>
        <w:jc w:val="both"/>
      </w:pPr>
      <w:r>
        <w:rPr>
          <w:b w:val="0"/>
          <w:i w:val="0"/>
        </w:rPr>
        <w:t>Não são contribuintes (art. 25): condomínio edilício, consórcio, SCP, nanoempreendedor, fundos de investimento (com regras específicas), produtor rural com receita anual inferior a R$ 3.600.000,00, transportador autônomo de cargas, planos de autogestão de saúde sem fins lucrativos, entidades fechadas de previdência complementar e fundos patrimoniais. Há possibilidade de opção facultativa pelo regime regular.</w:t>
      </w:r>
    </w:p>
    <w:p>
      <w:pPr>
        <w:spacing w:before="160"/>
      </w:pPr>
      <w:r>
        <w:rPr>
          <w:b/>
          <w:color w:val="1F4E79"/>
          <w:sz w:val="24"/>
        </w:rPr>
        <w:t>Capítulo VI — Modalidades de Extinção dos Débitos (art. 26 a 38)</w:t>
      </w:r>
    </w:p>
    <w:p>
      <w:pPr>
        <w:jc w:val="both"/>
      </w:pPr>
      <w:r>
        <w:rPr>
          <w:b w:val="0"/>
          <w:i w:val="0"/>
        </w:rPr>
        <w:t>Os débitos da CBS são extintos por: I — compensação com créditos do contribuinte; II — pagamento pelo contribuinte; III — split payment; IV — recolhimento pelo adquirente; V — pagamento pelo responsável tributário. Há regras específicas para imputação cronológica e correção de inconsistências.</w:t>
      </w:r>
    </w:p>
    <w:p>
      <w:pPr>
        <w:jc w:val="both"/>
      </w:pPr>
      <w:r>
        <w:rPr>
          <w:b w:val="0"/>
          <w:i w:val="0"/>
        </w:rPr>
        <w:t>O split payment (art. 28 a 35) é o mecanismo central: prestadores de serviço de pagamento eletrônico e instituições operadoras de sistemas de pagamento devem segregar e recolher a CBS no momento da liquidação financeira. Há procedimento padrão (art. 29) — vinculado ao valor exato da CBS no documento fiscal — e procedimento simplificado (art. 30) — com percentual preestabelecido. A implementação será gradual, em pelo menos duas etapas, conforme art. 33.</w:t>
      </w:r>
    </w:p>
    <w:tbl>
      <w:tblPr>
        <w:tblW w:type="auto" w:w="0"/>
        <w:tblLook w:firstColumn="1" w:firstRow="1" w:lastColumn="0" w:lastRow="0" w:noHBand="0" w:noVBand="1" w:val="04A0"/>
      </w:tblPr>
      <w:tblGrid>
        <w:gridCol w:w="9689"/>
      </w:tblGrid>
      <w:tr>
        <w:tc>
          <w:tcPr>
            <w:tcW w:type="dxa" w:w="9689"/>
            <w:shd w:val="clear" w:color="auto" w:fill="DDEBF7"/>
          </w:tcPr>
          <w:p>
            <w:r/>
            <w:r>
              <w:rPr>
                <w:b/>
                <w:sz w:val="20"/>
              </w:rPr>
              <w:t>ℹ INFORMAÇÃO TÉCNICA</w:t>
            </w:r>
          </w:p>
          <w:p>
            <w:r>
              <w:rPr>
                <w:sz w:val="22"/>
              </w:rPr>
              <w:t>Restituição de pagamento indevido ou a maior somente é devida ao fornecedor que (i) não tenha gerado crédito ao adquirente e (ii) prove ter assumido o encargo financeiro ou estar autorizado a recebê-lo (art. 38). Aplica-se a empresas optantes do Simples Nacional em caso de enquadramento retroativo.</w:t>
            </w:r>
          </w:p>
        </w:tc>
      </w:tr>
    </w:tbl>
    <w:p/>
    <w:p>
      <w:pPr>
        <w:spacing w:before="160"/>
      </w:pPr>
      <w:r>
        <w:rPr>
          <w:b/>
          <w:color w:val="1F4E79"/>
          <w:sz w:val="24"/>
        </w:rPr>
        <w:t>Capítulo VII — Ressarcimento (art. 39 e 40)</w:t>
      </w:r>
    </w:p>
    <w:p>
      <w:pPr>
        <w:jc w:val="both"/>
      </w:pPr>
      <w:r>
        <w:rPr>
          <w:b w:val="0"/>
          <w:i w:val="0"/>
        </w:rPr>
        <w:t>Saldo a recuperar pode ser objeto de ressarcimento integral ou parcial. Prazos para apreciação pela RFB: 30 dias (PNCT), 60 dias (créditos de bens incorporados ao ativo imobilizado e de baixo volume), 180 dias (demais casos). Inércia da RFB implica ressarcimento em 15 dias subsequentes. Procedimento de fiscalização suspende prazos, com limite de 360 dias.</w:t>
      </w:r>
    </w:p>
    <w:p>
      <w:pPr>
        <w:spacing w:before="160"/>
      </w:pPr>
      <w:r>
        <w:rPr>
          <w:b/>
          <w:color w:val="1F4E79"/>
          <w:sz w:val="24"/>
        </w:rPr>
        <w:t>Capítulo VIII — Regime de Apuração e Não Cumulatividade (art. 41 a 64)</w:t>
      </w:r>
    </w:p>
    <w:p>
      <w:pPr>
        <w:jc w:val="both"/>
      </w:pPr>
      <w:r>
        <w:rPr>
          <w:b w:val="0"/>
          <w:i w:val="0"/>
        </w:rPr>
        <w:t>Período de apuração mensal (art. 43). Apuração consolida operações de todos os estabelecimentos. A RFB apresentará apuração assistida até o dia 15 ou 20 do mês seguinte, conforme caso (art. 46). A apuração realizada implica confissão de dívida e constitui o crédito tributário. Caso o contribuinte não se manifeste sobre a apuração assistida até o último dia útil do mês seguinte, presume-se correto o saldo apurado.</w:t>
      </w:r>
    </w:p>
    <w:p>
      <w:pPr>
        <w:jc w:val="both"/>
      </w:pPr>
      <w:r>
        <w:rPr>
          <w:b w:val="0"/>
          <w:i w:val="0"/>
        </w:rPr>
        <w:t>Não cumulatividade ampla (art. 47): apropriação de créditos sobre todas as aquisições, exceto os de uso ou consumo pessoal (art. 62 a 64). O crédito está condicionado à comprovação por documento fiscal idôneo e à extinção do débito do fornecedor (regra geral). Operações imunes, isentas, com alíquota zero, diferimento ou suspensão não geram crédito ao adquirente, salvo créditos presumidos. Operações com alíquota reduzida não acarretam estorno dos créditos das operações antecedentes (art. 47, §6º).</w:t>
      </w:r>
    </w:p>
    <w:p>
      <w:pPr>
        <w:spacing w:before="160"/>
      </w:pPr>
      <w:r>
        <w:rPr>
          <w:b/>
          <w:color w:val="1F4E79"/>
          <w:sz w:val="24"/>
        </w:rPr>
        <w:t>Capítulo IX — Bens e Serviços de Uso e Consumo Pessoal (art. 62 a 64)</w:t>
      </w:r>
    </w:p>
    <w:p>
      <w:pPr>
        <w:jc w:val="both"/>
      </w:pPr>
      <w:r>
        <w:rPr>
          <w:b w:val="0"/>
          <w:i w:val="0"/>
        </w:rPr>
        <w:t>Considera-se de uso ou consumo pessoal: joias, pedras e metais preciosos; obras de arte e antiguidades; bebidas alcoólicas; derivados do tabaco; armas e munições; bens recreativos, esportivos e estéticos. Há critérios de exceção quando esses bens forem utilizados preponderantemente na atividade econômica. Equiparam-se a uso pessoal os bens fornecidos não onerosamente ou abaixo do mercado a sócios, administradores, empregados e parentes até terceiro grau. Há rol expresso de exceções (uniformes, EPIs, alimentação na jornada, planos de saúde por convenção coletiva, vale-transporte/refeição/alimentação, benefícios educacionais por convenção coletiva).</w:t>
      </w:r>
    </w:p>
    <w:p>
      <w:pPr>
        <w:spacing w:before="160"/>
      </w:pPr>
      <w:r>
        <w:rPr>
          <w:b/>
          <w:color w:val="1F4E79"/>
          <w:sz w:val="24"/>
        </w:rPr>
        <w:t>Capítulo X — Importações e Exportações (art. 65 a 103)</w:t>
      </w:r>
    </w:p>
    <w:p>
      <w:pPr>
        <w:jc w:val="both"/>
      </w:pPr>
      <w:r>
        <w:rPr>
          <w:b w:val="0"/>
          <w:i w:val="0"/>
        </w:rPr>
        <w:t>Importações sujeitas à CBS pelas mesmas alíquotas internas. Para bens materiais, base é o valor aduaneiro acrescido de tributos, contribuições, taxas e direitos (art. 80), excluídos IPI, ICMS e ISS. Pagamento até a entrega dos bens (art. 87). Importações de serviços/bens imateriais: contribuinte é o adquirente, ainda que não inscrito.</w:t>
      </w:r>
    </w:p>
    <w:p>
      <w:pPr>
        <w:jc w:val="both"/>
      </w:pPr>
      <w:r>
        <w:rPr>
          <w:b w:val="0"/>
          <w:i w:val="0"/>
        </w:rPr>
        <w:t>Exportações: imunidade com manutenção de créditos (art. 91). Exportação de serviço/bem imaterial: fornecimento a residente/domiciliado no exterior com consumo no exterior. Há lista de serviços conexos à exportação de bens materiais que também são considerados exportação (intermediação, seguro, despacho, transporte, manuseio, pesagem, instalação, treinamento etc.). Empresas comerciais exportadoras com fim específico de exportação podem operar com suspensão (art. 97), desde que habilitadas no Programa OEA.</w:t>
      </w:r>
    </w:p>
    <w:p>
      <w:pPr>
        <w:spacing w:before="240" w:after="120"/>
      </w:pPr>
      <w:r>
        <w:rPr>
          <w:b/>
          <w:color w:val="1F4E79"/>
          <w:sz w:val="30"/>
        </w:rPr>
        <w:t>Título II — Obrigações Acessórias (art. 104 a 151)</w:t>
      </w:r>
    </w:p>
    <w:p>
      <w:pPr>
        <w:spacing w:before="160"/>
      </w:pPr>
      <w:r>
        <w:rPr>
          <w:b/>
          <w:color w:val="1F4E79"/>
          <w:sz w:val="24"/>
        </w:rPr>
        <w:t>Cadastro com Identificação Única (art. 104 a 111)</w:t>
      </w:r>
    </w:p>
    <w:p>
      <w:pPr>
        <w:jc w:val="both"/>
      </w:pPr>
      <w:r>
        <w:rPr>
          <w:b w:val="0"/>
          <w:i w:val="0"/>
        </w:rPr>
        <w:t>Sistema unificado RFB + administrações tributárias estaduais e municipais, baseado em CPF, CNPJ e CIB (Cadastro Imobiliário Brasileiro), com integração obrigatória e tempestiva. Vedação à criação de cadastros distintos. Estabelecimento abrange escritórios virtuais e espaços compartilhados, mediante contrato. Domicílio principal define o local da operação para fins do art. 12.</w:t>
      </w:r>
    </w:p>
    <w:p>
      <w:pPr>
        <w:spacing w:before="160"/>
      </w:pPr>
      <w:r>
        <w:rPr>
          <w:b/>
          <w:color w:val="1F4E79"/>
          <w:sz w:val="24"/>
        </w:rPr>
        <w:t>Documento Fiscal Eletrônico (art. 112 a 151)</w:t>
      </w:r>
    </w:p>
    <w:p>
      <w:pPr>
        <w:jc w:val="both"/>
      </w:pPr>
      <w:r>
        <w:rPr>
          <w:b w:val="0"/>
          <w:i w:val="0"/>
        </w:rPr>
        <w:t>Recepção dos modelos atuais: NF-e, NFC-e, NFS-e, CT-e, CT-e OS, BP-e, MDF-e, GTV-e, NF3e, NFCom, NFGas, DC-e, NFS-e Via, Duimp, DIR. Instituídos novos: NFAg (água e saneamento), DeRE (Declaração de Regimes Específicos) e NF-e ABI (alienação de bem imóvel). Validade do documento exige assinatura eletrônica e autorização de uso. Eventos fiscais permitem alterações posteriores. Possível operação em contingência. Período de transição até 31/12/2032 com aplicação dos atos normativos atuais (CGNFS-e, CGSN, CONFAZ/SINIEF, RFB).</w:t>
      </w:r>
    </w:p>
    <w:p>
      <w:pPr>
        <w:spacing w:before="240" w:after="120"/>
      </w:pPr>
      <w:r>
        <w:rPr>
          <w:b/>
          <w:color w:val="1F4E79"/>
          <w:sz w:val="30"/>
        </w:rPr>
        <w:t>Título III — Regimes Aduaneiros, Bagagem, Remessas, ZPE e Bens de Capital (art. 152 a 198)</w:t>
      </w:r>
    </w:p>
    <w:p>
      <w:pPr>
        <w:jc w:val="both"/>
      </w:pPr>
      <w:r>
        <w:rPr>
          <w:b w:val="0"/>
          <w:i w:val="0"/>
        </w:rPr>
        <w:t>Regimes aduaneiros especiais com suspensão da CBS: trânsito, depósito (entreposto, especial, afiançado, franco, lojas francas, entreposto internacional ZFM), permanência temporária (admissão e exportação temporária — incluindo Repetro-Temporário e GNL-Temporário), aperfeiçoamento (RECOF, drawback suspensão, admissão e exportação para aperfeiçoamento). REPETRO permanente até 31/12/2040. ZPE com suspensão de máquinas, equipamentos, peças, matérias-primas, embalagens e energia elétrica de fontes renováveis. Bens de capital: crédito integral e imediato (art. 195); REPORTO até 31/12/2028 (Anexo III); Reidi/Renaval/Rehidro com habilitação prévia.</w:t>
      </w:r>
    </w:p>
    <w:p>
      <w:pPr>
        <w:spacing w:before="240" w:after="120"/>
      </w:pPr>
      <w:r>
        <w:rPr>
          <w:b/>
          <w:color w:val="1F4E79"/>
          <w:sz w:val="30"/>
        </w:rPr>
        <w:t>Título IV — Cesta Básica Nacional (art. 199)</w:t>
      </w:r>
    </w:p>
    <w:p>
      <w:pPr>
        <w:jc w:val="both"/>
      </w:pPr>
      <w:r>
        <w:rPr>
          <w:b w:val="0"/>
          <w:i w:val="0"/>
        </w:rPr>
        <w:t>Alíquota zero da CBS para os produtos da Cesta Básica Nacional, conforme Anexo I da LC 214/2025. Aplica-se também à importação. Alteração da composição depende do cumprimento dos §§ 9º e 11 do art. 156-A da CF. Quando comercializados em conjunto com outros produtos, exige-se especificação do valor de cada item beneficiado.</w:t>
      </w:r>
    </w:p>
    <w:p>
      <w:pPr>
        <w:spacing w:before="240" w:after="120"/>
      </w:pPr>
      <w:r>
        <w:rPr>
          <w:b/>
          <w:color w:val="1F4E79"/>
          <w:sz w:val="30"/>
        </w:rPr>
        <w:t>Título V — Regimes Diferenciados (art. 200 a 258)</w:t>
      </w:r>
    </w:p>
    <w:p>
      <w:pPr>
        <w:pStyle w:val="ListBullet"/>
      </w:pPr>
      <w:r>
        <w:t>Redução de 30% — profissionais regulamentados (art. 202): administradores, advogados, arquitetos, assistentes sociais, bibliotecários, biólogos, contabilistas, economistas, engenheiros, agrônomos, estatísticos, médicos veterinários, museólogos, químicos, etc. — exige fiscalização por conselho profissional;</w:t>
      </w:r>
    </w:p>
    <w:p>
      <w:pPr>
        <w:pStyle w:val="ListBullet"/>
      </w:pPr>
      <w:r>
        <w:t>Redução de 60% — educação (art. 204), saúde (art. 205), dispositivos médicos (art. 206), dispositivos de acessibilidade (art. 207), medicamentos não sujeitos à alíquota zero (art. 208), alimentos consumo humano (art. 210), higiene/limpeza (art. 211), produtos agropecuários in natura (art. 212), insumos agropecuários e aquícolas (art. 213), produções nacionais artísticas/culturais/jornalísticas (art. 215), comunicação institucional (art. 216), atividades desportivas (art. 217), soberania/segurança nacional/cibernética (art. 218);</w:t>
      </w:r>
    </w:p>
    <w:p>
      <w:pPr>
        <w:pStyle w:val="ListBullet"/>
      </w:pPr>
      <w:r>
        <w:t>Alíquota zero — dispositivos médicos e de acessibilidade específicos (art. 220 e 221), medicamentos para doenças graves/programas públicos (art. 222), produtos de cuidados básicos à saúde menstrual (art. 223), hortifruti (art. 224), automóveis para PcD/táxi (art. 225 a 231), serviços de ICT sem fins lucrativos (art. 232);</w:t>
      </w:r>
    </w:p>
    <w:p>
      <w:pPr>
        <w:pStyle w:val="ListBullet"/>
      </w:pPr>
      <w:r>
        <w:t>Isenção do transporte público coletivo rodoviário e metroviário urbano/semiurbano/metropolitano (art. 233);</w:t>
      </w:r>
    </w:p>
    <w:p>
      <w:pPr>
        <w:pStyle w:val="ListBullet"/>
      </w:pPr>
      <w:r>
        <w:t>Reabilitação urbana — redução de 60% (alienação) e 80% (locação) — art. 234;</w:t>
      </w:r>
    </w:p>
    <w:p>
      <w:pPr>
        <w:pStyle w:val="ListBullet"/>
      </w:pPr>
      <w:r>
        <w:t>Crédito presumido para produtor rural não contribuinte (art. 245), TAC pessoa física (art. 250), resíduos sólidos para reciclagem (art. 256), bens móveis usados adquiridos de pessoa física (art. 258).</w:t>
      </w:r>
    </w:p>
    <w:p>
      <w:pPr>
        <w:spacing w:before="240" w:after="120"/>
      </w:pPr>
      <w:r>
        <w:rPr>
          <w:b/>
          <w:color w:val="1F4E79"/>
          <w:sz w:val="30"/>
        </w:rPr>
        <w:t>Título VI — Regimes Específicos (art. 259 a 431)</w:t>
      </w:r>
    </w:p>
    <w:p>
      <w:pPr>
        <w:spacing w:before="160"/>
      </w:pPr>
      <w:r>
        <w:rPr>
          <w:b/>
          <w:color w:val="1F4E79"/>
          <w:sz w:val="24"/>
        </w:rPr>
        <w:t>Combustíveis (art. 259 a 268)</w:t>
      </w:r>
    </w:p>
    <w:p>
      <w:pPr>
        <w:jc w:val="both"/>
      </w:pPr>
      <w:r>
        <w:rPr>
          <w:b w:val="0"/>
          <w:i w:val="0"/>
        </w:rPr>
        <w:t>Incidência monofásica em uma única etapa, com alíquotas específicas por unidade de medida (litro, kg, m³). Contribuintes: refinarias, produtores nacionais de biocombustíveis, CPQ, UPGN, formuladores, importadores e demais agentes autorizados pela ANP. Atribuição de responsabilidade ao adquirente em operações diretas. Regras para EAC (mistura com gasolina A) e B100 (mistura com diesel A). Vedação à apropriação de créditos por distribuidores/varejistas (regime monofásico fechado). Exceção: contribuinte do regime regular pode creditar quando comprovado o pagamento monofásico anterior.</w:t>
      </w:r>
    </w:p>
    <w:p>
      <w:pPr>
        <w:spacing w:before="160"/>
      </w:pPr>
      <w:r>
        <w:rPr>
          <w:b/>
          <w:color w:val="1F4E79"/>
          <w:sz w:val="24"/>
        </w:rPr>
        <w:t>Serviços Financeiros (art. 269 a 329)</w:t>
      </w:r>
    </w:p>
    <w:p>
      <w:pPr>
        <w:jc w:val="both"/>
      </w:pPr>
      <w:r>
        <w:rPr>
          <w:b w:val="0"/>
          <w:i w:val="0"/>
        </w:rPr>
        <w:t>Regime de margem com deduções específicas. Operações abrangidas: crédito, câmbio, títulos e valores mobiliários, securitização, faturização, arrendamento mercantil (operacional e financeiro), administração de consórcio, gestão de recursos, arranjos de pagamento, atividades de infraestruturas de mercado, seguros, resseguros, previdência, capitalização, intermediação, ativos virtuais, proteção patrimonial mutualista. Aferição mensal. Base = receitas das operações com deduções específicas (despesas de captação, perdas, intermediação). FGTS sujeito a regime específico (art. 308 e 482-484). Cooperativas optantes do regime do art. 391 têm tratamento próprio.</w:t>
      </w:r>
    </w:p>
    <w:p>
      <w:pPr>
        <w:spacing w:before="160"/>
      </w:pPr>
      <w:r>
        <w:rPr>
          <w:b/>
          <w:color w:val="1F4E79"/>
          <w:sz w:val="24"/>
        </w:rPr>
        <w:t>Planos de Assistência à Saúde (art. 330 a 346)</w:t>
      </w:r>
    </w:p>
    <w:p>
      <w:pPr>
        <w:jc w:val="both"/>
      </w:pPr>
      <w:r>
        <w:rPr>
          <w:b w:val="0"/>
          <w:i w:val="0"/>
        </w:rPr>
        <w:t>Alíquota reduzida em 60% sobre as alíquotas de referência (art. 336). Base = prêmios e contraprestações recebidos, deduzidos sinistros pagos, cancelamentos, intermediação e corresponsabilidade cedida. Seguros saúde, administradoras de benefícios, operadoras, cooperativas, autogestão. Crédito vedado ao adquirente, salvo planos compulsórios em convenção coletiva (art. 337). Estende-se a planos de assistência funerária e planos de saúde animal (com alíquota reduzida em 30%, sem crédito).</w:t>
      </w:r>
    </w:p>
    <w:p>
      <w:pPr>
        <w:spacing w:before="160"/>
      </w:pPr>
      <w:r>
        <w:rPr>
          <w:b/>
          <w:color w:val="1F4E79"/>
          <w:sz w:val="24"/>
        </w:rPr>
        <w:t>Concursos de Prognósticos (art. 347 a 358)</w:t>
      </w:r>
    </w:p>
    <w:p>
      <w:pPr>
        <w:jc w:val="both"/>
      </w:pPr>
      <w:r>
        <w:rPr>
          <w:b w:val="0"/>
          <w:i w:val="0"/>
        </w:rPr>
        <w:t>Alíquota uniforme nacional (soma das alíquotas de referência). Base = receita própria (apostas) deduzida das premiações pagas e destinações obrigatórias. Inclui apostas de quota fixa, sweepstakes, turfe, fantasy sports e demais. Apostadores não têm direito a crédito.</w:t>
      </w:r>
    </w:p>
    <w:p>
      <w:pPr>
        <w:spacing w:before="160"/>
      </w:pPr>
      <w:r>
        <w:rPr>
          <w:b/>
          <w:color w:val="1F4E79"/>
          <w:sz w:val="24"/>
        </w:rPr>
        <w:t>Bens Imóveis (art. 359 a 390)</w:t>
      </w:r>
    </w:p>
    <w:p>
      <w:pPr>
        <w:jc w:val="both"/>
      </w:pPr>
      <w:r>
        <w:rPr>
          <w:b w:val="0"/>
          <w:i w:val="0"/>
        </w:rPr>
        <w:t>Alíquota reduzida em 50% (alienação) e 70% (locação). Aplicação do redutor de ajuste (valor inicial a partir do custo de aquisição corrigido ou valor de referência) — vinculado ao imóvel e transferível em operações entre contribuintes do regime regular. Redutor social: R$ 100.000,00 na alienação de imóvel residencial novo, R$ 30.000,00 em lote residencial novo, e R$ 600,00/mês para locação residencial. Critérios para enquadramento de pessoa física como contribuinte (art. 382): mais de 3 imóveis distintos, receita anual de locação superior a R$ 240.000,00, construção e venda de mais de 1 imóvel/ano. Regimes opcionais transitórios (art. 461 a 463): incorporações afetadas (2,08%/0,53%), parcelamento do solo (3,65%) e contratos de locação firmados até 16/01/2025 (3,65%) — opção irretratável.</w:t>
      </w:r>
    </w:p>
    <w:p>
      <w:pPr>
        <w:spacing w:before="160"/>
      </w:pPr>
      <w:r>
        <w:rPr>
          <w:b/>
          <w:color w:val="1F4E79"/>
          <w:sz w:val="24"/>
        </w:rPr>
        <w:t>Cooperativas (art. 391 a 395)</w:t>
      </w:r>
    </w:p>
    <w:p>
      <w:pPr>
        <w:jc w:val="both"/>
      </w:pPr>
      <w:r>
        <w:rPr>
          <w:b w:val="0"/>
          <w:i w:val="0"/>
        </w:rPr>
        <w:t>Alíquota zero entre cooperativa optante e associado contribuinte regular. Cooperativas singulares, centrais, federações, confederações e seus bancos cooperativos. Para fornecimento a associado não contribuinte de cooperativa de produção agropecuária, alíquota zero condicionada à anulação dos créditos. Transferência de créditos do associado para a cooperativa, observada proporção dos fornecimentos.</w:t>
      </w:r>
    </w:p>
    <w:p>
      <w:pPr>
        <w:spacing w:before="160"/>
      </w:pPr>
      <w:r>
        <w:rPr>
          <w:b/>
          <w:color w:val="1F4E79"/>
          <w:sz w:val="24"/>
        </w:rPr>
        <w:t>Bares, Restaurantes, Hotelaria, Parques, Transporte, Turismo (art. 396 a 420)</w:t>
      </w:r>
    </w:p>
    <w:p>
      <w:pPr>
        <w:jc w:val="both"/>
      </w:pPr>
      <w:r>
        <w:rPr>
          <w:b w:val="0"/>
          <w:i w:val="0"/>
        </w:rPr>
        <w:t>Bares e restaurantes (art. 396 a 401): redução de 40% sobre alimentação preparada e bebidas não alcoólicas. Exclui-se da base gorjeta até 15% (repassada integralmente ao empregado) e valores de plataformas digitais de entrega. Vedação ao crédito ao adquirente. Hotelaria, parques de diversão e parques temáticos (art. 402 a 413): redução de 40%. Locação de imóvel residencial mobiliado por até 90 dias também sujeita ao mesmo regime. Crédito vedado ao adquirente. Transporte coletivo intermunicipal/interestadual rodoviário/ferroviário/hidroviário e transporte aéreo regional: redução de 40% (art. 416). Transporte público urbano ferroviário/hidroviário: redução de 100% (art. 416), sem crédito. Agências de turismo (art. 417 a 420): regime sobre margem, com dedução dos valores repassados a fornecedores intermediados.</w:t>
      </w:r>
    </w:p>
    <w:p>
      <w:pPr>
        <w:spacing w:before="160"/>
      </w:pPr>
      <w:r>
        <w:rPr>
          <w:b/>
          <w:color w:val="1F4E79"/>
          <w:sz w:val="24"/>
        </w:rPr>
        <w:t>SAF — Sociedade Anônima do Futebol (art. 421 a 429)</w:t>
      </w:r>
    </w:p>
    <w:p>
      <w:pPr>
        <w:jc w:val="both"/>
      </w:pPr>
      <w:r>
        <w:rPr>
          <w:b w:val="0"/>
          <w:i w:val="0"/>
        </w:rPr>
        <w:t>Regime de Tributação Específica do Futebol (TEF). Pagamento mensal unificado: 4% (IRPJ + CSLL + contribuições previdenciárias), 1% CBS, 1% IBS (com transição gradual). Base = totalidade das receitas pelo regime de caixa, incluindo prêmios, bilheteria, sócio-torcedor, cessão de direitos, transmissão, formação, propriedade intelectual e operações conexas. Crédito da CBS limitado à aquisição de direitos desportivos de atletas. Vedação ao crédito do adquirente, salvo na aquisição de direitos desportivos.</w:t>
      </w:r>
    </w:p>
    <w:p>
      <w:pPr>
        <w:spacing w:before="160"/>
      </w:pPr>
      <w:r>
        <w:rPr>
          <w:b/>
          <w:color w:val="1F4E79"/>
          <w:sz w:val="24"/>
        </w:rPr>
        <w:t>Missões Diplomáticas e Tratados Internacionais (art. 430 e 431)</w:t>
      </w:r>
    </w:p>
    <w:p>
      <w:pPr>
        <w:jc w:val="both"/>
      </w:pPr>
      <w:r>
        <w:rPr>
          <w:b w:val="0"/>
          <w:i w:val="0"/>
        </w:rPr>
        <w:t>Operações alcançadas por tratado/convenção internacional ratificada pelo Congresso, inclusive missões diplomáticas, repartições consulares e organismos internacionais, sujeitas a regime específico. Reembolso da CBS paga em operações destinadas a missões diplomáticas/repartições consulares e funcionários acreditados, mediante reciprocidade certificada pelo Ministério das Relações Exteriores.</w:t>
      </w:r>
    </w:p>
    <w:p>
      <w:pPr>
        <w:spacing w:before="240" w:after="120"/>
      </w:pPr>
      <w:r>
        <w:rPr>
          <w:b/>
          <w:color w:val="1F4E79"/>
          <w:sz w:val="30"/>
        </w:rPr>
        <w:t>Título VII — Zona Franca de Manaus e Áreas de Livre Comércio (art. 432 a 542)</w:t>
      </w:r>
    </w:p>
    <w:p>
      <w:pPr>
        <w:jc w:val="both"/>
      </w:pPr>
      <w:r>
        <w:rPr>
          <w:b w:val="0"/>
          <w:i w:val="0"/>
        </w:rPr>
        <w:t>Manutenção dos benefícios até 2073. Suspensão na importação por indústria incentivada. Alíquota zero em operações originadas no País destinadas a contribuinte habilitado na ZFM/ALC. Crédito presumido na operação interna originada da indústria incentivada (6% PPB de bens beneficiados; 2% nos demais casos para ZFM, e 6% para ALC). Vedações a armas, fumo, bebidas alcoólicas, automóveis, petróleo/derivados (com exceções para indústria de refino) e perfumaria/cosméticos. Habilitação na Suframa e cumprimento de processo produtivo básico (PPB). Sistema integrado RFB-Suframa para internamento.</w:t>
      </w:r>
    </w:p>
    <w:p>
      <w:pPr>
        <w:spacing w:before="240" w:after="120"/>
      </w:pPr>
      <w:r>
        <w:rPr>
          <w:b/>
          <w:color w:val="1F4E79"/>
          <w:sz w:val="30"/>
        </w:rPr>
        <w:t>Título VIII — Compras Governamentais (art. 439 a 443)</w:t>
      </w:r>
    </w:p>
    <w:p>
      <w:pPr>
        <w:jc w:val="both"/>
      </w:pPr>
      <w:r>
        <w:rPr>
          <w:b w:val="0"/>
          <w:i w:val="0"/>
        </w:rPr>
        <w:t>Produto da CBS e do IBS destinado integralmente ao ente contratante mediante alíquota concentrada (zero para os demais entes; soma das alíquotas para o contratante). Inaplicável a aquisições presenciais dispensadas de licitação. Aplicável também a importações da administração pública direta, autárquica e fundacional. Redutor sobre as alíquotas, fixado por Resolução do Senado Federal (art. 442 e 443). Transição de 2026 a 2032 com aplicação parcial e gradativa.</w:t>
      </w:r>
    </w:p>
    <w:p>
      <w:pPr>
        <w:spacing w:before="240" w:after="120"/>
      </w:pPr>
      <w:r>
        <w:rPr>
          <w:b/>
          <w:color w:val="1F4E79"/>
          <w:sz w:val="30"/>
        </w:rPr>
        <w:t>Título IX — Consulta sobre a Aplicação da Legislação (art. 444 a 450)</w:t>
      </w:r>
    </w:p>
    <w:p>
      <w:pPr>
        <w:jc w:val="both"/>
      </w:pPr>
      <w:r>
        <w:rPr>
          <w:b w:val="0"/>
          <w:i w:val="0"/>
        </w:rPr>
        <w:t>Direito do sujeito passivo de formular consulta escrita sobre fato determinado. Solução emitida pela RFB (CBS) e Diretoria de Tributação do CGIBS (IBS), com tramitação conjunta para matérias comuns. Prazo de resposta a ser definido por ato conjunto. Efeitos: suspende exigibilidade para o consulente, vincula a administração tributária, exclui multa e juros de mora se pago em 15 dias após a resposta.</w:t>
      </w:r>
    </w:p>
    <w:p>
      <w:pPr>
        <w:spacing w:before="240" w:after="120"/>
      </w:pPr>
      <w:r>
        <w:rPr>
          <w:b/>
          <w:color w:val="1F4E79"/>
          <w:sz w:val="30"/>
        </w:rPr>
        <w:t>Título X — Harmonização (art. 451 a 459)</w:t>
      </w:r>
    </w:p>
    <w:p>
      <w:pPr>
        <w:jc w:val="both"/>
      </w:pPr>
      <w:r>
        <w:rPr>
          <w:b w:val="0"/>
          <w:i w:val="0"/>
        </w:rPr>
        <w:t>Comitê de Harmonização das Administrações Tributárias (4 representantes da RFB e 4 do CGIBS) — uniformização de regulamentação e interpretação. Fórum de Harmonização Jurídica das Procuradorias (4 PGFN e 4 CGIBS). Resoluções aprovadas vinculam administrações e procuradorias. Atos conjuntos vinculativos a partir da publicação no DOU.</w:t>
      </w:r>
    </w:p>
    <w:p>
      <w:pPr>
        <w:spacing w:before="240" w:after="120"/>
      </w:pPr>
      <w:r>
        <w:rPr>
          <w:b/>
          <w:color w:val="1F4E79"/>
          <w:sz w:val="30"/>
        </w:rPr>
        <w:t>Título XI — Associação Pública Especial (art. 460)</w:t>
      </w:r>
    </w:p>
    <w:p>
      <w:pPr>
        <w:jc w:val="both"/>
      </w:pPr>
      <w:r>
        <w:rPr>
          <w:b w:val="0"/>
          <w:i w:val="0"/>
        </w:rPr>
        <w:t>Instituição de associação pública especial entre União (RFB) e CGIBS para gestão compartilhada de módulos, sistemas e componentes da CBS e do IBS. Personalidade jurídica de direito público, autonomia administrativa, patrimonial, técnica e financeira. Governança compartilhada e paritária. Fiscalização pelo TCU e pelos Tribunais de Contas competentes.</w:t>
      </w:r>
    </w:p>
    <w:p>
      <w:pPr>
        <w:spacing w:before="240" w:after="120"/>
      </w:pPr>
      <w:r>
        <w:rPr>
          <w:b/>
          <w:color w:val="1F4E79"/>
          <w:sz w:val="30"/>
        </w:rPr>
        <w:t>Título XII — Transição das Operações com Bens Imóveis (art. 461 a 463)</w:t>
      </w:r>
    </w:p>
    <w:p>
      <w:pPr>
        <w:jc w:val="both"/>
      </w:pPr>
      <w:r>
        <w:rPr>
          <w:b w:val="0"/>
          <w:i w:val="0"/>
        </w:rPr>
        <w:t>Regimes opcionais irretratáveis: incorporação imobiliária com patrimônio de afetação (2,08% sobre receita; 0,53% para incorporação afetada do art. 4º, §6º e §8º, e art. 8º, parágrafo único, da Lei 10.931/2004) — para incorporações com pedido de opção pelo RET até 31/12/2028; parcelamento do solo (3,65%) — para parcelamentos com pedido de registro até 31/12/2028; locação, cessão onerosa ou arrendamento de imóvel (3,65%) — contratos firmados até 16/01/2025. Vedações ao redutor de ajuste e ao redutor social. Crédito ao adquirente vedado.</w:t>
      </w:r>
    </w:p>
    <w:p>
      <w:pPr>
        <w:spacing w:before="240" w:after="120"/>
      </w:pPr>
      <w:r>
        <w:rPr>
          <w:b/>
          <w:color w:val="1F4E79"/>
          <w:sz w:val="30"/>
        </w:rPr>
        <w:t>Título XIII — Disposições Finais (art. 464 a 466)</w:t>
      </w:r>
    </w:p>
    <w:p>
      <w:pPr>
        <w:jc w:val="both"/>
      </w:pPr>
      <w:r>
        <w:rPr>
          <w:b w:val="0"/>
          <w:i w:val="0"/>
        </w:rPr>
        <w:t>Dispensa de recolhimento da CBS em 2026 mediante cumprimento das obrigações acessórias (art. 464). Saldo credor em 31/12/2026 desconsiderado para apuração em 2027 e não passível de ressarcimento (art. 465). Apuração informativa em 2026 obrigatória.</w:t>
      </w:r>
    </w:p>
    <w:p>
      <w:pPr>
        <w:spacing w:before="360" w:after="160"/>
      </w:pPr>
      <w:r>
        <w:rPr>
          <w:b/>
          <w:color w:val="0B3D91"/>
          <w:sz w:val="40"/>
        </w:rPr>
        <w:t>V. Impacto por Área e Risco Operacional</w:t>
      </w:r>
    </w:p>
    <w:tbl>
      <w:tblPr>
        <w:tblStyle w:val="LightGrid-Accent1"/>
        <w:tblW w:type="auto" w:w="0"/>
        <w:tblLook w:firstColumn="1" w:firstRow="1" w:lastColumn="0" w:lastRow="0" w:noHBand="0" w:noVBand="1" w:val="04A0"/>
      </w:tblPr>
      <w:tblGrid>
        <w:gridCol w:w="3230"/>
        <w:gridCol w:w="3230"/>
        <w:gridCol w:w="3230"/>
      </w:tblGrid>
      <w:tr>
        <w:tc>
          <w:tcPr>
            <w:tcW w:type="dxa" w:w="1701"/>
            <w:shd w:val="clear" w:color="auto" w:fill="0B3D91"/>
          </w:tcPr>
          <w:p>
            <w:r/>
            <w:r>
              <w:rPr>
                <w:b/>
                <w:color w:val="FFFFFF"/>
                <w:sz w:val="20"/>
              </w:rPr>
              <w:t>Área</w:t>
            </w:r>
          </w:p>
        </w:tc>
        <w:tc>
          <w:tcPr>
            <w:tcW w:type="dxa" w:w="4535"/>
            <w:shd w:val="clear" w:color="auto" w:fill="0B3D91"/>
          </w:tcPr>
          <w:p>
            <w:r/>
            <w:r>
              <w:rPr>
                <w:b/>
                <w:color w:val="FFFFFF"/>
                <w:sz w:val="20"/>
              </w:rPr>
              <w:t>Impacto</w:t>
            </w:r>
          </w:p>
        </w:tc>
        <w:tc>
          <w:tcPr>
            <w:tcW w:type="dxa" w:w="3969"/>
            <w:shd w:val="clear" w:color="auto" w:fill="0B3D91"/>
          </w:tcPr>
          <w:p>
            <w:r/>
            <w:r>
              <w:rPr>
                <w:b/>
                <w:color w:val="FFFFFF"/>
                <w:sz w:val="20"/>
              </w:rPr>
              <w:t>Risco Principal</w:t>
            </w:r>
          </w:p>
        </w:tc>
      </w:tr>
      <w:tr>
        <w:tc>
          <w:tcPr>
            <w:tcW w:type="dxa" w:w="1701"/>
          </w:tcPr>
          <w:p>
            <w:r/>
            <w:r>
              <w:rPr>
                <w:sz w:val="20"/>
              </w:rPr>
              <w:t>Fiscal</w:t>
            </w:r>
          </w:p>
        </w:tc>
        <w:tc>
          <w:tcPr>
            <w:tcW w:type="dxa" w:w="4535"/>
          </w:tcPr>
          <w:p>
            <w:r/>
            <w:r>
              <w:rPr>
                <w:sz w:val="20"/>
              </w:rPr>
              <w:t>Reformulação completa da apuração</w:t>
            </w:r>
          </w:p>
        </w:tc>
        <w:tc>
          <w:tcPr>
            <w:tcW w:type="dxa" w:w="3969"/>
          </w:tcPr>
          <w:p>
            <w:r/>
            <w:r>
              <w:rPr>
                <w:sz w:val="20"/>
              </w:rPr>
              <w:t>Apuração assistida com confissão tácita (art. 46)</w:t>
            </w:r>
          </w:p>
        </w:tc>
      </w:tr>
      <w:tr>
        <w:tc>
          <w:tcPr>
            <w:tcW w:type="dxa" w:w="1701"/>
          </w:tcPr>
          <w:p>
            <w:r/>
            <w:r>
              <w:rPr>
                <w:sz w:val="20"/>
              </w:rPr>
              <w:t>Contábil</w:t>
            </w:r>
          </w:p>
        </w:tc>
        <w:tc>
          <w:tcPr>
            <w:tcW w:type="dxa" w:w="4535"/>
          </w:tcPr>
          <w:p>
            <w:r/>
            <w:r>
              <w:rPr>
                <w:sz w:val="20"/>
              </w:rPr>
              <w:t>Segregação por regime; novas contas</w:t>
            </w:r>
          </w:p>
        </w:tc>
        <w:tc>
          <w:tcPr>
            <w:tcW w:type="dxa" w:w="3969"/>
          </w:tcPr>
          <w:p>
            <w:r/>
            <w:r>
              <w:rPr>
                <w:sz w:val="20"/>
              </w:rPr>
              <w:t>Crédito presumido sobre estoque (art. 605)</w:t>
            </w:r>
          </w:p>
        </w:tc>
      </w:tr>
      <w:tr>
        <w:tc>
          <w:tcPr>
            <w:tcW w:type="dxa" w:w="1701"/>
          </w:tcPr>
          <w:p>
            <w:r/>
            <w:r>
              <w:rPr>
                <w:sz w:val="20"/>
              </w:rPr>
              <w:t>TI</w:t>
            </w:r>
          </w:p>
        </w:tc>
        <w:tc>
          <w:tcPr>
            <w:tcW w:type="dxa" w:w="4535"/>
          </w:tcPr>
          <w:p>
            <w:r/>
            <w:r>
              <w:rPr>
                <w:sz w:val="20"/>
              </w:rPr>
              <w:t>Integração com plataforma RFB/CGIBS</w:t>
            </w:r>
          </w:p>
        </w:tc>
        <w:tc>
          <w:tcPr>
            <w:tcW w:type="dxa" w:w="3969"/>
          </w:tcPr>
          <w:p>
            <w:r/>
            <w:r>
              <w:rPr>
                <w:sz w:val="20"/>
              </w:rPr>
              <w:t>Falha de integração com split payment</w:t>
            </w:r>
          </w:p>
        </w:tc>
      </w:tr>
      <w:tr>
        <w:tc>
          <w:tcPr>
            <w:tcW w:type="dxa" w:w="1701"/>
          </w:tcPr>
          <w:p>
            <w:r/>
            <w:r>
              <w:rPr>
                <w:sz w:val="20"/>
              </w:rPr>
              <w:t>Comercial</w:t>
            </w:r>
          </w:p>
        </w:tc>
        <w:tc>
          <w:tcPr>
            <w:tcW w:type="dxa" w:w="4535"/>
          </w:tcPr>
          <w:p>
            <w:r/>
            <w:r>
              <w:rPr>
                <w:sz w:val="20"/>
              </w:rPr>
              <w:t>Revisão de preços, descontos, brindes</w:t>
            </w:r>
          </w:p>
        </w:tc>
        <w:tc>
          <w:tcPr>
            <w:tcW w:type="dxa" w:w="3969"/>
          </w:tcPr>
          <w:p>
            <w:r/>
            <w:r>
              <w:rPr>
                <w:sz w:val="20"/>
              </w:rPr>
              <w:t>Recomposição de margens</w:t>
            </w:r>
          </w:p>
        </w:tc>
      </w:tr>
      <w:tr>
        <w:tc>
          <w:tcPr>
            <w:tcW w:type="dxa" w:w="1701"/>
          </w:tcPr>
          <w:p>
            <w:r/>
            <w:r>
              <w:rPr>
                <w:sz w:val="20"/>
              </w:rPr>
              <w:t>Compras</w:t>
            </w:r>
          </w:p>
        </w:tc>
        <w:tc>
          <w:tcPr>
            <w:tcW w:type="dxa" w:w="4535"/>
          </w:tcPr>
          <w:p>
            <w:r/>
            <w:r>
              <w:rPr>
                <w:sz w:val="20"/>
              </w:rPr>
              <w:t>Verificação de idoneidade fiscal</w:t>
            </w:r>
          </w:p>
        </w:tc>
        <w:tc>
          <w:tcPr>
            <w:tcW w:type="dxa" w:w="3969"/>
          </w:tcPr>
          <w:p>
            <w:r/>
            <w:r>
              <w:rPr>
                <w:sz w:val="20"/>
              </w:rPr>
              <w:t>Glosa de créditos por documento inidôneo</w:t>
            </w:r>
          </w:p>
        </w:tc>
      </w:tr>
      <w:tr>
        <w:tc>
          <w:tcPr>
            <w:tcW w:type="dxa" w:w="1701"/>
          </w:tcPr>
          <w:p>
            <w:r/>
            <w:r>
              <w:rPr>
                <w:sz w:val="20"/>
              </w:rPr>
              <w:t>Jurídico</w:t>
            </w:r>
          </w:p>
        </w:tc>
        <w:tc>
          <w:tcPr>
            <w:tcW w:type="dxa" w:w="4535"/>
          </w:tcPr>
          <w:p>
            <w:r/>
            <w:r>
              <w:rPr>
                <w:sz w:val="20"/>
              </w:rPr>
              <w:t>Revisão de contratos plurianuais</w:t>
            </w:r>
          </w:p>
        </w:tc>
        <w:tc>
          <w:tcPr>
            <w:tcW w:type="dxa" w:w="3969"/>
          </w:tcPr>
          <w:p>
            <w:r/>
            <w:r>
              <w:rPr>
                <w:sz w:val="20"/>
              </w:rPr>
              <w:t>Cláusula de repasse tributário inadequada</w:t>
            </w:r>
          </w:p>
        </w:tc>
      </w:tr>
      <w:tr>
        <w:tc>
          <w:tcPr>
            <w:tcW w:type="dxa" w:w="1701"/>
          </w:tcPr>
          <w:p>
            <w:r/>
            <w:r>
              <w:rPr>
                <w:sz w:val="20"/>
              </w:rPr>
              <w:t>RH</w:t>
            </w:r>
          </w:p>
        </w:tc>
        <w:tc>
          <w:tcPr>
            <w:tcW w:type="dxa" w:w="4535"/>
          </w:tcPr>
          <w:p>
            <w:r/>
            <w:r>
              <w:rPr>
                <w:sz w:val="20"/>
              </w:rPr>
              <w:t>Tratamento de benefícios e fornecimentos a empregados</w:t>
            </w:r>
          </w:p>
        </w:tc>
        <w:tc>
          <w:tcPr>
            <w:tcW w:type="dxa" w:w="3969"/>
          </w:tcPr>
          <w:p>
            <w:r/>
            <w:r>
              <w:rPr>
                <w:sz w:val="20"/>
              </w:rPr>
              <w:t>Equiparação a uso pessoal (art. 63)</w:t>
            </w:r>
          </w:p>
        </w:tc>
      </w:tr>
      <w:tr>
        <w:tc>
          <w:tcPr>
            <w:tcW w:type="dxa" w:w="1701"/>
          </w:tcPr>
          <w:p>
            <w:r/>
            <w:r>
              <w:rPr>
                <w:sz w:val="20"/>
              </w:rPr>
              <w:t>Logística</w:t>
            </w:r>
          </w:p>
        </w:tc>
        <w:tc>
          <w:tcPr>
            <w:tcW w:type="dxa" w:w="4535"/>
          </w:tcPr>
          <w:p>
            <w:r/>
            <w:r>
              <w:rPr>
                <w:sz w:val="20"/>
              </w:rPr>
              <w:t>Revisão de fluxos de transferência e armazenagem</w:t>
            </w:r>
          </w:p>
        </w:tc>
        <w:tc>
          <w:tcPr>
            <w:tcW w:type="dxa" w:w="3969"/>
          </w:tcPr>
          <w:p>
            <w:r/>
            <w:r>
              <w:rPr>
                <w:sz w:val="20"/>
              </w:rPr>
              <w:t>Local da operação e tributação no destino</w:t>
            </w:r>
          </w:p>
        </w:tc>
      </w:tr>
      <w:tr>
        <w:tc>
          <w:tcPr>
            <w:tcW w:type="dxa" w:w="1701"/>
          </w:tcPr>
          <w:p>
            <w:r/>
            <w:r>
              <w:rPr>
                <w:sz w:val="20"/>
              </w:rPr>
              <w:t>Marketing</w:t>
            </w:r>
          </w:p>
        </w:tc>
        <w:tc>
          <w:tcPr>
            <w:tcW w:type="dxa" w:w="4535"/>
          </w:tcPr>
          <w:p>
            <w:r/>
            <w:r>
              <w:rPr>
                <w:sz w:val="20"/>
              </w:rPr>
              <w:t>Revisão de brindes, bonificações, fidelização</w:t>
            </w:r>
          </w:p>
        </w:tc>
        <w:tc>
          <w:tcPr>
            <w:tcW w:type="dxa" w:w="3969"/>
          </w:tcPr>
          <w:p>
            <w:r/>
            <w:r>
              <w:rPr>
                <w:sz w:val="20"/>
              </w:rPr>
              <w:t>Equiparação a fornecimento oneroso (art. 5º)</w:t>
            </w:r>
          </w:p>
        </w:tc>
      </w:tr>
    </w:tbl>
    <w:p/>
    <w:p>
      <w:pPr>
        <w:spacing w:before="360" w:after="160"/>
      </w:pPr>
      <w:r>
        <w:rPr>
          <w:b/>
          <w:color w:val="0B3D91"/>
          <w:sz w:val="40"/>
        </w:rPr>
        <w:t>VI. Pontos Sensíveis e Lacunas Interpretativas</w:t>
      </w:r>
    </w:p>
    <w:p>
      <w:pPr>
        <w:pStyle w:val="ListBullet"/>
      </w:pPr>
      <w:r>
        <w:t>Atos conjuntos pendentes RFB/CGIBS — operacionalização de splitpayment, cadastros, documento fiscal e ressarcimento;</w:t>
      </w:r>
    </w:p>
    <w:p>
      <w:pPr>
        <w:pStyle w:val="ListBullet"/>
      </w:pPr>
      <w:r>
        <w:t>Conceito de uso ou consumo pessoal — aplicação prática nos fornecimentos a empregados e administradores requer cautela e documentação robusta;</w:t>
      </w:r>
    </w:p>
    <w:p>
      <w:pPr>
        <w:pStyle w:val="ListBullet"/>
      </w:pPr>
      <w:r>
        <w:t>Plataformas digitais — responsabilidade solidária e em substituição traz complexidade na intermediação de operações;</w:t>
      </w:r>
    </w:p>
    <w:p>
      <w:pPr>
        <w:pStyle w:val="ListBullet"/>
      </w:pPr>
      <w:r>
        <w:t>Cessões de direito creditório (factoring/securitização) — base de cálculo limitada à diferença em relação à curva DI gera necessidade de modelagem específica;</w:t>
      </w:r>
    </w:p>
    <w:p>
      <w:pPr>
        <w:pStyle w:val="ListBullet"/>
      </w:pPr>
      <w:r>
        <w:t>Compras governamentais com redutor de alíquota — operacionalização concreta exige ajustes nos editais e nas práticas de pregão;</w:t>
      </w:r>
    </w:p>
    <w:p>
      <w:pPr>
        <w:pStyle w:val="ListBullet"/>
      </w:pPr>
      <w:r>
        <w:t>Regimes específicos imobiliários — coexistência entre regime regular, regimes transitórios opcionais e isenções pode gerar conflitos de aplicação;</w:t>
      </w:r>
    </w:p>
    <w:p>
      <w:pPr>
        <w:pStyle w:val="ListBullet"/>
      </w:pPr>
      <w:r>
        <w:t>Cooperativas optantes do regime específico — necessidade de avaliação custo-benefício comparativa com o regime regular.</w:t>
      </w:r>
    </w:p>
    <w:p>
      <w:pPr>
        <w:spacing w:before="360" w:after="160"/>
      </w:pPr>
      <w:r>
        <w:rPr>
          <w:b/>
          <w:color w:val="0B3D91"/>
          <w:sz w:val="40"/>
        </w:rPr>
        <w:t>VII. Recomendações Executivas</w:t>
      </w:r>
    </w:p>
    <w:p>
      <w:pPr>
        <w:pStyle w:val="ListBullet"/>
      </w:pPr>
      <w:r>
        <w:t>Constituir Comitê Interno de Reforma Tributária com representação multidisciplinar (Fiscal, Contábil, TI, Jurídico, Comercial, Controladoria, RH e Logística);</w:t>
      </w:r>
    </w:p>
    <w:p>
      <w:pPr>
        <w:pStyle w:val="ListBullet"/>
      </w:pPr>
      <w:r>
        <w:t>Realizar diagnóstico completo da matriz tributária atual e mapeamento de impacto por linha de produto/serviço;</w:t>
      </w:r>
    </w:p>
    <w:p>
      <w:pPr>
        <w:pStyle w:val="ListBullet"/>
      </w:pPr>
      <w:r>
        <w:t>Aderir ao PNCT — Programa Nacional de Conformidade Tributária (art. 471-A da LC 214/2025) para mitigação de risco fiscal e prazos preferenciais de ressarcimento;</w:t>
      </w:r>
    </w:p>
    <w:p>
      <w:pPr>
        <w:pStyle w:val="ListBullet"/>
      </w:pPr>
      <w:r>
        <w:t>Atualizar cadastro de fornecedores e clientes para o cadastro com identificação única e CIB;</w:t>
      </w:r>
    </w:p>
    <w:p>
      <w:pPr>
        <w:pStyle w:val="ListBullet"/>
      </w:pPr>
      <w:r>
        <w:t>Iniciar projeto de adequação de ERP com fornecedor habilitado, estabelecendo cronograma de testes em ambiente de homologação;</w:t>
      </w:r>
    </w:p>
    <w:p>
      <w:pPr>
        <w:pStyle w:val="ListBullet"/>
      </w:pPr>
      <w:r>
        <w:t>Levantar inventário em 31/12/2026 com documentação fiscal idônea para crédito presumido (art. 605);</w:t>
      </w:r>
    </w:p>
    <w:p>
      <w:pPr>
        <w:pStyle w:val="ListBullet"/>
      </w:pPr>
      <w:r>
        <w:t>Avaliar a opção pelos regimes transitórios imobiliários, considerando a irretratabilidade da escolha;</w:t>
      </w:r>
    </w:p>
    <w:p>
      <w:pPr>
        <w:pStyle w:val="ListBullet"/>
      </w:pPr>
      <w:r>
        <w:t>Revisar contratos de longo prazo para inclusão de cláusulas de neutralidade tributária e renegociação;</w:t>
      </w:r>
    </w:p>
    <w:p>
      <w:pPr>
        <w:pStyle w:val="ListBullet"/>
      </w:pPr>
      <w:r>
        <w:t>Manter monitoramento contínuo do DOU para acompanhamento dos atos conjuntos RFB/CGIBS;</w:t>
      </w:r>
    </w:p>
    <w:p>
      <w:pPr>
        <w:pStyle w:val="ListBullet"/>
      </w:pPr>
      <w:r>
        <w:t>Capacitar lideranças e times operacionais com programa de treinamento estruturado em três níveis: executivo, técnico e operacional.</w:t>
      </w:r>
    </w:p>
    <w:p>
      <w:pPr>
        <w:spacing w:before="360" w:after="160"/>
      </w:pPr>
      <w:r>
        <w:rPr>
          <w:b/>
          <w:color w:val="0B3D91"/>
          <w:sz w:val="40"/>
        </w:rPr>
        <w:t>VIII. Conclusão Técnica</w:t>
      </w:r>
    </w:p>
    <w:p>
      <w:pPr>
        <w:jc w:val="both"/>
      </w:pPr>
      <w:r>
        <w:rPr>
          <w:b w:val="0"/>
          <w:i w:val="0"/>
        </w:rPr>
        <w:t>O Decreto nº 12.955/2026 constitui o regulamento operacional da CBS e, ao lado da LC 214/2025, integra o conjunto normativo essencial à implementação da Reforma Tributária sobre o consumo. Sua complexidade técnica e abrangência setorial exigem mobilização imediata e estruturada das empresas, com particular atenção aos prazos relevantes em 2026 (transição), 2027 (vigência plena), 2032 (encerramento da transição) e 2073 (limite dos benefícios da ZFM/ALC).</w:t>
      </w:r>
    </w:p>
    <w:p>
      <w:pPr>
        <w:jc w:val="both"/>
      </w:pPr>
      <w:r>
        <w:rPr>
          <w:b w:val="0"/>
          <w:i w:val="0"/>
        </w:rPr>
        <w:t>A correta interpretação e aplicação do regulamento depende de leitura sistemática combinada com a LC 214/2025, a EC 132/2023, atos conjuntos RFB/CGIBS e jurisprudência administrativa que se consolidará nos próximos anos. Recomenda-se a atualização contínua do conhecimento técnico e a aderência aos programas de conformidade.</w:t>
      </w:r>
    </w:p>
    <w:p>
      <w:pPr>
        <w:jc w:val="both"/>
      </w:pPr>
      <w:r>
        <w:rPr>
          <w:b w:val="0"/>
          <w:i w:val="0"/>
        </w:rPr>
        <w:t>O presente parecer é instrumento de orientação geral; questões específicas relativas a setores, contratos, operações e situações concretas devem ser analisadas individualmente, com fundamentação detalhada e suporte de consultoria especializada.</w:t>
      </w:r>
    </w:p>
    <w:p/>
    <w:p>
      <w:pPr>
        <w:jc w:val="center"/>
      </w:pPr>
      <w:r>
        <w:t>──────────────────────────────────────────────────</w:t>
      </w:r>
    </w:p>
    <w:p>
      <w:pPr>
        <w:jc w:val="center"/>
      </w:pPr>
      <w:r>
        <w:rPr>
          <w:i/>
          <w:color w:val="595959"/>
          <w:sz w:val="18"/>
        </w:rPr>
        <w:t>Documento técnico elaborado com base no Decreto nº 12.955, de 29/04/2026.</w:t>
        <w:br/>
      </w:r>
      <w:r>
        <w:rPr>
          <w:i/>
          <w:color w:val="595959"/>
          <w:sz w:val="18"/>
        </w:rPr>
        <w:t>Sujeito a ajustes em razão de atos normativos complementares (RFB/CGIBS) ainda pendentes de publicação.</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