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Hipótese de Incidência e Não Incidência</w:t>
        <w:br/>
      </w:r>
    </w:p>
    <w:p>
      <w:pPr>
        <w:jc w:val="center"/>
      </w:pPr>
      <w:r>
        <w:rPr>
          <w:color w:val="1F4E79"/>
          <w:sz w:val="28"/>
        </w:rPr>
        <w:t>Capítulo II do Título I do Livro I (art. 4º a 8º)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TEMA-01-Incidencia-Hipoteses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Visão Geral</w:t>
      </w:r>
    </w:p>
    <w:p>
      <w:pPr>
        <w:jc w:val="both"/>
      </w:pPr>
      <w:r>
        <w:rPr>
          <w:b w:val="0"/>
          <w:i w:val="0"/>
        </w:rPr>
        <w:t>A CBS incide sobre operações onerosas com bens (móveis, imóveis, materiais e imateriais, inclusive direitos) ou serviços (art. 4º). A regra é de máxima amplitude: irrelevantes o título jurídico da posse, a espécie ou forma do negócio, a validade, a obtenção de lucro e o cumprimento de exigências legais. A CBS incide inclusive sobre operações com ativo não circulante e atividade econômica não habitual.</w:t>
      </w:r>
    </w:p>
    <w:p>
      <w:pPr>
        <w:spacing w:before="360" w:after="160"/>
      </w:pPr>
      <w:r>
        <w:rPr>
          <w:b/>
          <w:color w:val="0B3D91"/>
          <w:sz w:val="40"/>
        </w:rPr>
        <w:t>2. Operações Onerosas — Rol Exemplificativo</w:t>
      </w:r>
    </w:p>
    <w:p>
      <w:pPr>
        <w:pStyle w:val="ListBullet"/>
      </w:pPr>
      <w:r>
        <w:t>Compra e venda, troca ou permuta, dação em pagamento e demais alienações;</w:t>
      </w:r>
    </w:p>
    <w:p>
      <w:pPr>
        <w:pStyle w:val="ListBullet"/>
      </w:pPr>
      <w:r>
        <w:t>Locação;</w:t>
      </w:r>
    </w:p>
    <w:p>
      <w:pPr>
        <w:pStyle w:val="ListBullet"/>
      </w:pPr>
      <w:r>
        <w:t>Licenciamento, concessão, cessão;</w:t>
      </w:r>
    </w:p>
    <w:p>
      <w:pPr>
        <w:pStyle w:val="ListBullet"/>
      </w:pPr>
      <w:r>
        <w:t>Mútuo oneroso;</w:t>
      </w:r>
    </w:p>
    <w:p>
      <w:pPr>
        <w:pStyle w:val="ListBullet"/>
      </w:pPr>
      <w:r>
        <w:t>Doação com contraprestação em benefício do doador;</w:t>
      </w:r>
    </w:p>
    <w:p>
      <w:pPr>
        <w:pStyle w:val="ListBullet"/>
      </w:pPr>
      <w:r>
        <w:t>Instituição onerosa de direitos reais;</w:t>
      </w:r>
    </w:p>
    <w:p>
      <w:pPr>
        <w:pStyle w:val="ListBullet"/>
      </w:pPr>
      <w:r>
        <w:t>Arrendamento, inclusive mercantil;</w:t>
      </w:r>
    </w:p>
    <w:p>
      <w:pPr>
        <w:pStyle w:val="ListBullet"/>
      </w:pPr>
      <w:r>
        <w:t>Prestação de serviços (todas as demais não enquadradas como bens).</w:t>
      </w:r>
    </w:p>
    <w:p>
      <w:pPr>
        <w:spacing w:before="360" w:after="160"/>
      </w:pPr>
      <w:r>
        <w:rPr>
          <w:b/>
          <w:color w:val="0B3D91"/>
          <w:sz w:val="40"/>
        </w:rPr>
        <w:t>3. Operações Não Onerosas — Hipóteses Tributadas (art. 5º)</w:t>
      </w:r>
    </w:p>
    <w:p>
      <w:pPr>
        <w:jc w:val="both"/>
      </w:pPr>
      <w:r>
        <w:rPr>
          <w:b w:val="0"/>
          <w:i w:val="0"/>
        </w:rPr>
        <w:t>A CBS também incide sobre fornecimentos não onerosos ou a valor inferior ao de mercado nas seguintes hipóteses:</w:t>
      </w:r>
    </w:p>
    <w:p>
      <w:pPr>
        <w:pStyle w:val="ListBullet"/>
      </w:pPr>
      <w:r>
        <w:t>Bens/serviços adquiridos com crédito apropriado, fornecidos a sócios, acionistas, administradores, conselheiros, empregados e parentes até terceiro grau;</w:t>
      </w:r>
    </w:p>
    <w:p>
      <w:pPr>
        <w:pStyle w:val="ListBullet"/>
      </w:pPr>
      <w:r>
        <w:t>Bens/serviços produzidos pelo contribuinte, fornecidos às mesmas pessoas;</w:t>
      </w:r>
    </w:p>
    <w:p>
      <w:pPr>
        <w:pStyle w:val="ListBullet"/>
      </w:pPr>
      <w:r>
        <w:t>Brindes (bens fornecidos gratuitamente fora do objeto social) e bonificações condicionadas a evento posterior;</w:t>
      </w:r>
    </w:p>
    <w:p>
      <w:pPr>
        <w:pStyle w:val="ListBullet"/>
      </w:pPr>
      <w:r>
        <w:t>Devolução de capital, dividendos in natura ou outras transmissões de bens cuja aquisição tenha gerado crédito;</w:t>
      </w:r>
    </w:p>
    <w:p>
      <w:pPr>
        <w:pStyle w:val="ListBullet"/>
      </w:pPr>
      <w:r>
        <w:t>Demais fornecimentos não onerosos a partes relacionadas.</w:t>
      </w:r>
    </w:p>
    <w:p>
      <w:pPr>
        <w:spacing w:before="360" w:after="160"/>
      </w:pPr>
      <w:r>
        <w:rPr>
          <w:b/>
          <w:color w:val="0B3D91"/>
          <w:sz w:val="40"/>
        </w:rPr>
        <w:t>4. Conceito de Partes Relacionadas (art. 5º, §3º a §7º)</w:t>
      </w:r>
    </w:p>
    <w:p>
      <w:pPr>
        <w:jc w:val="both"/>
      </w:pPr>
      <w:r>
        <w:rPr>
          <w:b w:val="0"/>
          <w:i w:val="0"/>
        </w:rPr>
        <w:t>Considera-se haver partes relacionadas quando uma delas estiver sujeita à influência exercida direta ou indiretamente por outra. São presumidas relacionadas: o controlador e suas controladas, coligadas, entidades sob controle comum, entidades com participação ≥ 25% nos lucros ou ≥ 20% no capital, sócios pessoas físicas e seus parentes até terceiro grau, conselheiros/diretores/controladores e seus parentes.</w:t>
      </w:r>
    </w:p>
    <w:p>
      <w:pPr>
        <w:spacing w:before="360" w:after="160"/>
      </w:pPr>
      <w:r>
        <w:rPr>
          <w:b/>
          <w:color w:val="0B3D91"/>
          <w:sz w:val="40"/>
        </w:rPr>
        <w:t>5. Não Incidência (art. 6º)</w:t>
      </w:r>
    </w:p>
    <w:p>
      <w:pPr>
        <w:pStyle w:val="ListBullet"/>
      </w:pPr>
      <w:r>
        <w:t>Serviços por pessoa física na relação de emprego ou na atuação como administrador/conselheiro estatutário;</w:t>
      </w:r>
    </w:p>
    <w:p>
      <w:pPr>
        <w:pStyle w:val="ListBullet"/>
      </w:pPr>
      <w:r>
        <w:t>Transferência de bens entre estabelecimentos do mesmo contribuinte;</w:t>
      </w:r>
    </w:p>
    <w:p>
      <w:pPr>
        <w:pStyle w:val="ListBullet"/>
      </w:pPr>
      <w:r>
        <w:t>Baixa, liquidação e transmissão de participação societária;</w:t>
      </w:r>
    </w:p>
    <w:p>
      <w:pPr>
        <w:pStyle w:val="ListBullet"/>
      </w:pPr>
      <w:r>
        <w:t>Transmissão de bens em fusão, cisão, incorporação, integralização e devolução de capital;</w:t>
      </w:r>
    </w:p>
    <w:p>
      <w:pPr>
        <w:pStyle w:val="ListBullet"/>
      </w:pPr>
      <w:r>
        <w:t>Rendimentos financeiros (com exceções para serviços financeiros e juros/multas/encargos cobrados pelo fornecedor);</w:t>
      </w:r>
    </w:p>
    <w:p>
      <w:pPr>
        <w:pStyle w:val="ListBullet"/>
      </w:pPr>
      <w:r>
        <w:t>Recebimento de dividendos e juros sobre capital próprio;</w:t>
      </w:r>
    </w:p>
    <w:p>
      <w:pPr>
        <w:pStyle w:val="ListBullet"/>
      </w:pPr>
      <w:r>
        <w:t>Operações com títulos e valores mobiliários (com exceções no regime específico de serviços financeiros);</w:t>
      </w:r>
    </w:p>
    <w:p>
      <w:pPr>
        <w:pStyle w:val="ListBullet"/>
      </w:pPr>
      <w:r>
        <w:t>Doações sem contraprestação (com regras de estorno de crédito quando aplicável);</w:t>
      </w:r>
    </w:p>
    <w:p>
      <w:pPr>
        <w:pStyle w:val="ListBullet"/>
      </w:pPr>
      <w:r>
        <w:t>Transferências de recursos públicos para OSCs (termos de fomento, parceria, contratos de gestão, repasse, convênios);</w:t>
      </w:r>
    </w:p>
    <w:p>
      <w:pPr>
        <w:pStyle w:val="ListBullet"/>
      </w:pPr>
      <w:r>
        <w:t>Destinação de recursos por cooperativas para fundos previstos no art. 28 da Lei 5.764/1971;</w:t>
      </w:r>
    </w:p>
    <w:p>
      <w:pPr>
        <w:pStyle w:val="ListBullet"/>
      </w:pPr>
      <w:r>
        <w:t>Repasse e distribuição de sobras pela cooperativa aos associados;</w:t>
      </w:r>
    </w:p>
    <w:p>
      <w:pPr>
        <w:pStyle w:val="ListBullet"/>
      </w:pPr>
      <w:r>
        <w:t>Contribuições associativas estatutárias de natureza não contraprestacional.</w:t>
      </w:r>
    </w:p>
    <w:p>
      <w:pPr>
        <w:spacing w:before="360" w:after="160"/>
      </w:pPr>
      <w:r>
        <w:rPr>
          <w:b/>
          <w:color w:val="0B3D91"/>
          <w:sz w:val="40"/>
        </w:rPr>
        <w:t>6. Tratamento de Operações Mistas (art. 7º)</w:t>
      </w:r>
    </w:p>
    <w:p>
      <w:pPr>
        <w:jc w:val="both"/>
      </w:pPr>
      <w:r>
        <w:rPr>
          <w:b w:val="0"/>
          <w:i w:val="0"/>
        </w:rPr>
        <w:t>No fornecimento de diferentes bens e serviços em uma mesma operação, é obrigatória a especificação do valor de cada fornecimento, exceto quando todos estiverem sujeitos ao mesmo tratamento ou quando houver fornecimento principal e acessórios. A cobrança unificada em desacordo gera arbitramento da base.</w:t>
      </w:r>
    </w:p>
    <w:p>
      <w:pPr>
        <w:spacing w:before="360" w:after="160"/>
      </w:pPr>
      <w:r>
        <w:rPr>
          <w:b/>
          <w:color w:val="0B3D91"/>
          <w:sz w:val="40"/>
        </w:rPr>
        <w:t>7. Concorrência de Institutos (art. 8º)</w:t>
      </w:r>
    </w:p>
    <w:p>
      <w:pPr>
        <w:jc w:val="both"/>
      </w:pPr>
      <w:r>
        <w:rPr>
          <w:b w:val="0"/>
          <w:i w:val="0"/>
        </w:rPr>
        <w:t>Quando aplicável mais de um instituto, prevalece a ordem: (I) redução a zero de alíquota; (II) suspensão com conversão em alíquota zero; (III) isenção; (IV) diferimento; (V) demais reduções. Em concurso de reduções, somente em caso de previsão expressa há cumulação; do contrário, prevalece a maior redução.</w:t>
      </w:r>
    </w:p>
    <w:p>
      <w:pPr>
        <w:spacing w:before="360" w:after="160"/>
      </w:pPr>
      <w:r>
        <w:rPr>
          <w:b/>
          <w:color w:val="0B3D91"/>
          <w:sz w:val="40"/>
        </w:rPr>
        <w:t>8.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Práticas tradicionais de descontos comerciais, brindes, bonificações por meta, fornecimentos a empregados e administradores, e operações entre partes relacionadas (intercompany) precisam ser revisadas integralmente. Há risco material de glosa de créditos e cobrança de tributo sobre operações que historicamente eram tratadas como não onerosas.</w:t>
            </w:r>
          </w:p>
        </w:tc>
      </w:tr>
    </w:tbl>
    <w:p/>
    <w:p>
      <w:pPr>
        <w:jc w:val="both"/>
      </w:pPr>
      <w:r>
        <w:rPr>
          <w:b w:val="0"/>
          <w:i w:val="0"/>
        </w:rPr>
        <w:t>Recomenda-se: (i) mapeamento de todas as operações não onerosas atuais; (ii) avaliação se constituem hipóteses de incidência sob o novo regime; (iii) revisão das políticas internas de RH, Marketing e Compras; (iv) implementação de governança documental para registro do valor de mercado.</w:t>
      </w:r>
    </w:p>
    <w:p>
      <w:pPr>
        <w:spacing w:before="360" w:after="160"/>
      </w:pPr>
      <w:r>
        <w:rPr>
          <w:b/>
          <w:color w:val="0B3D91"/>
          <w:sz w:val="40"/>
        </w:rPr>
        <w:t>9. Exemplo Prático</w:t>
      </w:r>
    </w:p>
    <w:p>
      <w:pPr>
        <w:jc w:val="both"/>
      </w:pPr>
      <w:r>
        <w:rPr>
          <w:b/>
          <w:i w:val="0"/>
        </w:rPr>
        <w:t>Cenário: Empresa industrial fornece a sócio-administrador um veículo, classificado contabilmente como ativo imobilizado, com valor de mercado de R$ 80.000,00, sem contraprestação.</w:t>
      </w:r>
    </w:p>
    <w:p>
      <w:pPr>
        <w:jc w:val="both"/>
      </w:pPr>
      <w:r>
        <w:rPr>
          <w:b w:val="0"/>
          <w:i w:val="0"/>
        </w:rPr>
        <w:t>Resultado: Por se tratar de fornecimento não oneroso a sócio (art. 5º, I), com base de cálculo equivalente ao valor de mercado (art. 14, §7º), há incidência de CBS no momento da transmissão. A operação deve ser registrada por meio de documento fiscal próprio com discriminação do beneficiário e valor de mercado.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