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Base de Cálculo e Alíquotas</w:t>
        <w:br/>
      </w:r>
    </w:p>
    <w:p>
      <w:pPr>
        <w:jc w:val="center"/>
      </w:pPr>
      <w:r>
        <w:rPr>
          <w:color w:val="1F4E79"/>
          <w:sz w:val="28"/>
        </w:rPr>
        <w:t>Capítulo IV do Título I do Livro I (art. 13 a 18) e Livro II (art. 466 a 484)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TEMA-02-Base-Calculo-Aliquotas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Composição da Base de Cálculo (art. 13)</w:t>
      </w:r>
    </w:p>
    <w:p>
      <w:pPr>
        <w:jc w:val="both"/>
      </w:pPr>
      <w:r>
        <w:rPr>
          <w:b w:val="0"/>
          <w:i w:val="0"/>
        </w:rPr>
        <w:t>A base de cálculo da CBS é o valor da operação, compreendido como o valor integral cobrado pelo fornecedor a qualquer título.</w:t>
      </w:r>
    </w:p>
    <w:p>
      <w:pPr>
        <w:jc w:val="both"/>
      </w:pPr>
      <w:r>
        <w:rPr>
          <w:b/>
          <w:i w:val="0"/>
        </w:rPr>
        <w:t>Inclusões obrigatórias na base:</w:t>
      </w:r>
    </w:p>
    <w:p>
      <w:pPr>
        <w:pStyle w:val="ListBullet"/>
      </w:pPr>
      <w:r>
        <w:t>Acréscimos decorrentes de ajuste do valor da operação;</w:t>
      </w:r>
    </w:p>
    <w:p>
      <w:pPr>
        <w:pStyle w:val="ListBullet"/>
      </w:pPr>
      <w:r>
        <w:t>Juros, multas, acréscimos e encargos;</w:t>
      </w:r>
    </w:p>
    <w:p>
      <w:pPr>
        <w:pStyle w:val="ListBullet"/>
      </w:pPr>
      <w:r>
        <w:t>Descontos concedidos sob condição;</w:t>
      </w:r>
    </w:p>
    <w:p>
      <w:pPr>
        <w:pStyle w:val="ListBullet"/>
      </w:pPr>
      <w:r>
        <w:t>Valor do transporte cobrado quando efetuado pelo próprio fornecedor ou por sua conta e ordem;</w:t>
      </w:r>
    </w:p>
    <w:p>
      <w:pPr>
        <w:pStyle w:val="ListBullet"/>
      </w:pPr>
      <w:r>
        <w:t>Tributos e preços públicos (taxas) suportados pelo fornecedor (com exceções no §2º);</w:t>
      </w:r>
    </w:p>
    <w:p>
      <w:pPr>
        <w:pStyle w:val="ListBullet"/>
      </w:pPr>
      <w:r>
        <w:t>Demais importâncias cobradas (seguros, taxas, etc.).</w:t>
      </w:r>
    </w:p>
    <w:p>
      <w:pPr>
        <w:spacing w:before="360" w:after="160"/>
      </w:pPr>
      <w:r>
        <w:rPr>
          <w:b/>
          <w:color w:val="0B3D91"/>
          <w:sz w:val="40"/>
        </w:rPr>
        <w:t>2. Exclusões da Base (art. 13, §2º)</w:t>
      </w:r>
    </w:p>
    <w:p>
      <w:pPr>
        <w:pStyle w:val="ListBullet"/>
      </w:pPr>
      <w:r>
        <w:t>CBS e IBS incidentes sobre a operação;</w:t>
      </w:r>
    </w:p>
    <w:p>
      <w:pPr>
        <w:pStyle w:val="ListBullet"/>
      </w:pPr>
      <w:r>
        <w:t>IPI;</w:t>
      </w:r>
    </w:p>
    <w:p>
      <w:pPr>
        <w:pStyle w:val="ListBullet"/>
      </w:pPr>
      <w:r>
        <w:t>Descontos incondicionais (constantes do documento fiscal e independentes de evento posterior);</w:t>
      </w:r>
    </w:p>
    <w:p>
      <w:pPr>
        <w:pStyle w:val="ListBullet"/>
      </w:pPr>
      <w:r>
        <w:t>Reembolsos por operações por conta e ordem ou em nome de terceiros (com documentação fiscal em nome do terceiro);</w:t>
      </w:r>
    </w:p>
    <w:p>
      <w:pPr>
        <w:pStyle w:val="ListBullet"/>
      </w:pPr>
      <w:r>
        <w:t>ICMS, ISS, PIS/COFINS (período de transição: 1º/1/2026 a 31/12/2032);</w:t>
      </w:r>
    </w:p>
    <w:p>
      <w:pPr>
        <w:pStyle w:val="ListBullet"/>
      </w:pPr>
      <w:r>
        <w:t>Contribuição art. 149-A da CF (CIP — Contribuição de Iluminação Pública).</w:t>
      </w:r>
    </w:p>
    <w:p>
      <w:pPr>
        <w:spacing w:before="360" w:after="160"/>
      </w:pPr>
      <w:r>
        <w:rPr>
          <w:b/>
          <w:color w:val="0B3D91"/>
          <w:sz w:val="40"/>
        </w:rPr>
        <w:t>3. Base nos Casos de Não Onerosidade (art. 14)</w:t>
      </w:r>
    </w:p>
    <w:p>
      <w:pPr>
        <w:jc w:val="both"/>
      </w:pPr>
      <w:r>
        <w:rPr>
          <w:b w:val="0"/>
          <w:i w:val="0"/>
        </w:rPr>
        <w:t>Em operações sem valor, com valor não monetário, entre partes relacionadas ou nos demais casos previstos, a base é o valor de mercado. A apuração observa, sucessivamente, operações comparáveis recentes (últimos 3 meses), critérios diversos (natureza/qualidade, quantidade, prazos, mercado geográfico) e, na impossibilidade, o valor de operações anteriores (até 1 ano), o custo total acrescido de lucro bruto, ou o custo total acrescido de despesas indispensáveis.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Em bolsas de mercadorias e ativos virtuais, há critérios específicos de cotação. Para imóveis, aplica-se o valor de referência do Sinter.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Arbitramento (art. 16)</w:t>
      </w:r>
    </w:p>
    <w:p>
      <w:pPr>
        <w:jc w:val="both"/>
      </w:pPr>
      <w:r>
        <w:rPr>
          <w:b w:val="0"/>
          <w:i w:val="0"/>
        </w:rPr>
        <w:t>A administração tributária pode arbitrar o valor da operação quando: ausência de elementos para comprovação (operação sem documento fiscal ou inidôneo, declaração com valor notoriamente inferior); omissão, conflito ou falta de fé das declarações ou documentos.</w:t>
      </w:r>
    </w:p>
    <w:p>
      <w:pPr>
        <w:spacing w:before="360" w:after="160"/>
      </w:pPr>
      <w:r>
        <w:rPr>
          <w:b/>
          <w:color w:val="0B3D91"/>
          <w:sz w:val="40"/>
        </w:rPr>
        <w:t>5. Alíquotas — Estrutura Geral</w:t>
      </w:r>
    </w:p>
    <w:p>
      <w:pPr>
        <w:jc w:val="both"/>
      </w:pPr>
      <w:r>
        <w:rPr>
          <w:b w:val="0"/>
          <w:i w:val="0"/>
        </w:rPr>
        <w:t>A alíquota-padrão da CBS é fixada por lei ordinária da União (art. 466), podendo ser vinculada à alíquota de referência calculada pelo TCU ou definida sem vinculação. Na ausência de lei específica, aplica-se a alíquota de referência.</w:t>
      </w:r>
    </w:p>
    <w:p>
      <w:pPr>
        <w:jc w:val="both"/>
      </w:pPr>
      <w:r>
        <w:rPr>
          <w:b w:val="0"/>
          <w:i w:val="0"/>
        </w:rPr>
        <w:t>As alíquotas incidentes nas importações de bens, serviços e bens imateriais são as mesmas do mercado interno (art. 469 e 470), ressalvadas regras específicas para regimes especiais e remessas internacionais (RTS).</w:t>
      </w:r>
    </w:p>
    <w:p>
      <w:pPr>
        <w:spacing w:before="360" w:after="160"/>
      </w:pPr>
      <w:r>
        <w:rPr>
          <w:b/>
          <w:color w:val="0B3D91"/>
          <w:sz w:val="40"/>
        </w:rPr>
        <w:t>6. Alíquota de Referência da CBS — Cronograma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737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Regra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0,9% (alíquota-teste, art. 582), com dispensa de recolhimento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2027 e 2028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Alíquota fixada por lei reduzida em 0,1 p.p. (art. 585)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2029 a 2033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Alíquotas de referência fixadas anualmente pelo Senado, conforme cálculo do TCU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2034 e 2035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Alíquota de 2033, com possível redução do art. 600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 partir de 2034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Vigência plena com revisões periódicas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7. Alíquotas Reduzidas — Visão Consolidada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Redução</w:t>
            </w:r>
          </w:p>
        </w:tc>
        <w:tc>
          <w:tcPr>
            <w:tcW w:type="dxa" w:w="737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Aplicação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Profissionais regulamentados (art. 202)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60%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Educação, saúde, dispositivos médicos, dispositivos PcD, medicamentos não isentos, alimentos, higiene, hortifruti, insumos agropecuários, produções artísticas/culturais, comunicação institucional, atividades desportivas, soberania/segurança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100% (zero)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Cesta básica, dispositivos médicos/PcD específicos, medicamentos para doenças graves, hortifruti, automóveis PcD/táxi, ICT sem fins lucrativos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50%/70%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Bens imóveis (alienação 50%; locação 70%)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Bares/restaurantes, hotelaria, parques, transporte coletivo intermunicipal e aéreo regional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100% (isenção)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Transporte público coletivo urbano/semiurbano/metropolitano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8. Bases Específicas (Margem)</w:t>
      </w:r>
    </w:p>
    <w:p>
      <w:pPr>
        <w:jc w:val="both"/>
      </w:pPr>
      <w:r>
        <w:rPr>
          <w:b w:val="0"/>
          <w:i w:val="0"/>
        </w:rPr>
        <w:t>Regimes específicos adotam base diferenciada:</w:t>
      </w:r>
    </w:p>
    <w:p>
      <w:pPr>
        <w:pStyle w:val="ListBullet"/>
      </w:pPr>
      <w:r>
        <w:t>Combustíveis — alíquota específica por unidade de medida (litro, kg, m³);</w:t>
      </w:r>
    </w:p>
    <w:p>
      <w:pPr>
        <w:pStyle w:val="ListBullet"/>
      </w:pPr>
      <w:r>
        <w:t>Serviços financeiros — receita das operações com deduções específicas;</w:t>
      </w:r>
    </w:p>
    <w:p>
      <w:pPr>
        <w:pStyle w:val="ListBullet"/>
      </w:pPr>
      <w:r>
        <w:t>Planos de saúde — prêmios deduzidos de sinistros e intermediação;</w:t>
      </w:r>
    </w:p>
    <w:p>
      <w:pPr>
        <w:pStyle w:val="ListBullet"/>
      </w:pPr>
      <w:r>
        <w:t>Concursos de prognósticos — receita líquida (apostas - prêmios pagos);</w:t>
      </w:r>
    </w:p>
    <w:p>
      <w:pPr>
        <w:pStyle w:val="ListBullet"/>
      </w:pPr>
      <w:r>
        <w:t>Bens imóveis — valor da operação reduzido pelo redutor de ajuste e redutor social;</w:t>
      </w:r>
    </w:p>
    <w:p>
      <w:pPr>
        <w:pStyle w:val="ListBullet"/>
      </w:pPr>
      <w:r>
        <w:t>Agências de turismo — margem (valor cobrado - valores repassados);</w:t>
      </w:r>
    </w:p>
    <w:p>
      <w:pPr>
        <w:pStyle w:val="ListBullet"/>
      </w:pPr>
      <w:r>
        <w:t>SAF — receita total (regime de caixa) com pagamento unificado.</w:t>
      </w:r>
    </w:p>
    <w:p>
      <w:pPr>
        <w:spacing w:before="360" w:after="160"/>
      </w:pPr>
      <w:r>
        <w:rPr>
          <w:b/>
          <w:color w:val="0B3D91"/>
          <w:sz w:val="40"/>
        </w:rPr>
        <w:t>9. Conversão Cambial (art. 13, §4º)</w:t>
      </w:r>
    </w:p>
    <w:p>
      <w:pPr>
        <w:jc w:val="both"/>
      </w:pPr>
      <w:r>
        <w:rPr>
          <w:b w:val="0"/>
          <w:i w:val="0"/>
        </w:rPr>
        <w:t>Em operações em moeda estrangeira, conversão pela PTAX-venda do dia anterior à ocorrência do fato gerador. Para moedas sem cotação no País, conversão para USD primeiro.</w:t>
      </w:r>
    </w:p>
    <w:p>
      <w:pPr>
        <w:spacing w:before="360" w:after="160"/>
      </w:pPr>
      <w:r>
        <w:rPr>
          <w:b/>
          <w:color w:val="0B3D91"/>
          <w:sz w:val="40"/>
        </w:rPr>
        <w:t>10. Devolução e Cancelamento (art. 18)</w:t>
      </w:r>
    </w:p>
    <w:p>
      <w:pPr>
        <w:jc w:val="both"/>
      </w:pPr>
      <w:r>
        <w:rPr>
          <w:b w:val="0"/>
          <w:i w:val="0"/>
        </w:rPr>
        <w:t>A alíquota aplicada para fins de devolução ou cancelamento é a mesma da operação original, preservando-se a neutralidade tributária. As regras para apuração e estorno são detalhadas nos art. 57 a 61.</w:t>
      </w:r>
    </w:p>
    <w:p>
      <w:pPr>
        <w:spacing w:before="360" w:after="160"/>
      </w:pPr>
      <w:r>
        <w:rPr>
          <w:b/>
          <w:color w:val="0B3D91"/>
          <w:sz w:val="40"/>
        </w:rPr>
        <w:t>11. Risco Operacional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BE5D6"/>
          </w:tcPr>
          <w:p>
            <w:r/>
            <w:r>
              <w:rPr>
                <w:b/>
                <w:sz w:val="20"/>
              </w:rPr>
              <w:t>✖ RISCO RELEVANTE</w:t>
            </w:r>
          </w:p>
          <w:p>
            <w:r>
              <w:rPr>
                <w:sz w:val="22"/>
              </w:rPr>
              <w:t>Empresas com práticas frequentes de descontos condicionais, ajustes de preço pós-venda, compensações em conta-corrente entre fornecedor e adquirente devem revisar urgentemente seus contratos e sistemas — esses valores integram a base de cálculo (art. 13, §1º). Falhas no destaque podem implicar autuação com multa de 75% (art. 576).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