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Não Cumulatividade e Sistemática de Créditos</w:t>
        <w:br/>
      </w:r>
    </w:p>
    <w:p>
      <w:pPr>
        <w:jc w:val="center"/>
      </w:pPr>
      <w:r>
        <w:rPr>
          <w:color w:val="1F4E79"/>
          <w:sz w:val="28"/>
        </w:rPr>
        <w:t>Seção XII do Capítulo II do Título I do Livro I (art. 47 a 64)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TEMA-03-Nao-Cumulatividade-Creditos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Conceito Estruturante</w:t>
      </w:r>
    </w:p>
    <w:p>
      <w:pPr>
        <w:jc w:val="both"/>
      </w:pPr>
      <w:r>
        <w:rPr>
          <w:b w:val="0"/>
          <w:i w:val="0"/>
        </w:rPr>
        <w:t>A CBS adota regime de não cumulatividade plena e financeira: o contribuinte do regime regular pode apropriar créditos sobre todas as aquisições de bens e serviços, à exceção dos considerados de uso ou consumo pessoal (art. 47). Trata-se de avanço sobre o regime atual de PIS/COFINS, eliminando a maioria das vedações ao crédito.</w:t>
      </w:r>
    </w:p>
    <w:p>
      <w:pPr>
        <w:spacing w:before="360" w:after="160"/>
      </w:pPr>
      <w:r>
        <w:rPr>
          <w:b/>
          <w:color w:val="0B3D91"/>
          <w:sz w:val="40"/>
        </w:rPr>
        <w:t>2. Condições para Apropriação (art. 47, §1º e §2º)</w:t>
      </w:r>
    </w:p>
    <w:p>
      <w:pPr>
        <w:pStyle w:val="ListBullet"/>
      </w:pPr>
      <w:r>
        <w:t>Adquirente sujeito ao regime regular da CBS;</w:t>
      </w:r>
    </w:p>
    <w:p>
      <w:pPr>
        <w:pStyle w:val="ListBullet"/>
      </w:pPr>
      <w:r>
        <w:t>Operação de aquisição comprovada por documento fiscal idôneo;</w:t>
      </w:r>
    </w:p>
    <w:p>
      <w:pPr>
        <w:pStyle w:val="ListBullet"/>
      </w:pPr>
      <w:r>
        <w:t>Extinção do débito da CBS pelo fornecedor (regra geral, salvo exceções);</w:t>
      </w:r>
    </w:p>
    <w:p>
      <w:pPr>
        <w:pStyle w:val="ListBullet"/>
      </w:pPr>
      <w:r>
        <w:t>Apropriação segregada em relação ao IBS (vedada compensação entre tributos);</w:t>
      </w:r>
    </w:p>
    <w:p>
      <w:pPr>
        <w:pStyle w:val="ListBullet"/>
      </w:pPr>
      <w:r>
        <w:t>Valores correspondentes aos débitos destacados no documento fiscal e extintos por qualquer das modalidades do art. 26.</w:t>
      </w:r>
    </w:p>
    <w:p>
      <w:pPr>
        <w:spacing w:before="360" w:after="160"/>
      </w:pPr>
      <w:r>
        <w:rPr>
          <w:b/>
          <w:color w:val="0B3D91"/>
          <w:sz w:val="40"/>
        </w:rPr>
        <w:t>3. Hipóteses Especiais de Crédito</w:t>
      </w:r>
    </w:p>
    <w:p>
      <w:pPr>
        <w:pStyle w:val="ListBullet"/>
      </w:pPr>
      <w:r>
        <w:t>Aquisições de combustíveis tributados monofasicamente: dispensa-se a comprovação da extinção (art. 47, §4º);</w:t>
      </w:r>
    </w:p>
    <w:p>
      <w:pPr>
        <w:pStyle w:val="ListBullet"/>
      </w:pPr>
      <w:r>
        <w:t>Optantes pelo Simples Nacional: crédito limitado ao valor pago no DAS (art. 49);</w:t>
      </w:r>
    </w:p>
    <w:p>
      <w:pPr>
        <w:pStyle w:val="ListBullet"/>
      </w:pPr>
      <w:r>
        <w:t>Aquisições de produtor rural não contribuinte: crédito presumido (art. 245);</w:t>
      </w:r>
    </w:p>
    <w:p>
      <w:pPr>
        <w:pStyle w:val="ListBullet"/>
      </w:pPr>
      <w:r>
        <w:t>Aquisições de TAC pessoa física: crédito presumido (art. 250);</w:t>
      </w:r>
    </w:p>
    <w:p>
      <w:pPr>
        <w:pStyle w:val="ListBullet"/>
      </w:pPr>
      <w:r>
        <w:t>Aquisições de resíduos sólidos para reciclagem: crédito presumido (art. 256);</w:t>
      </w:r>
    </w:p>
    <w:p>
      <w:pPr>
        <w:pStyle w:val="ListBullet"/>
      </w:pPr>
      <w:r>
        <w:t>Aquisições de bens móveis usados de pessoa física para revenda: crédito presumido (art. 258);</w:t>
      </w:r>
    </w:p>
    <w:p>
      <w:pPr>
        <w:pStyle w:val="ListBullet"/>
      </w:pPr>
      <w:r>
        <w:t>Bens de capital: crédito integral e imediato (art. 195).</w:t>
      </w:r>
    </w:p>
    <w:p>
      <w:pPr>
        <w:spacing w:before="360" w:after="160"/>
      </w:pPr>
      <w:r>
        <w:rPr>
          <w:b/>
          <w:color w:val="0B3D91"/>
          <w:sz w:val="40"/>
        </w:rPr>
        <w:t>4. Vedação ao Crédito (art. 50 a 52, 62 a 64)</w:t>
      </w:r>
    </w:p>
    <w:p>
      <w:pPr>
        <w:pStyle w:val="ListBullet"/>
      </w:pPr>
      <w:r>
        <w:t>Operações imunes, isentas, com alíquota zero, diferimento ou suspensão (art. 50);</w:t>
      </w:r>
    </w:p>
    <w:p>
      <w:pPr>
        <w:pStyle w:val="ListBullet"/>
      </w:pPr>
      <w:r>
        <w:t>Bens e serviços de uso ou consumo pessoal: joias, pedras e metais preciosos, obras de arte, bebidas alcoólicas, derivados do tabaco, armas e munições, recreativos/esportivos/estéticos (art. 62);</w:t>
      </w:r>
    </w:p>
    <w:p>
      <w:pPr>
        <w:pStyle w:val="ListBullet"/>
      </w:pPr>
      <w:r>
        <w:t>Bens e serviços fornecidos não onerosamente ou a valor inferior ao mercado a sócios, administradores, conselheiros, empregados e parentes até terceiro grau (art. 63);</w:t>
      </w:r>
    </w:p>
    <w:p>
      <w:pPr>
        <w:pStyle w:val="ListBullet"/>
      </w:pPr>
      <w:r>
        <w:t>Imóvel residencial e veículo (com exceções para uso na atividade), inclusive serviços relacionados (art. 63, §3º).</w:t>
      </w:r>
    </w:p>
    <w:p>
      <w:pPr>
        <w:spacing w:before="360" w:after="160"/>
      </w:pPr>
      <w:r>
        <w:rPr>
          <w:b/>
          <w:color w:val="0B3D91"/>
          <w:sz w:val="40"/>
        </w:rPr>
        <w:t>5. Exceções à Vedação — Bens Utilizados Preponderantemente na Atividade (art. 62 e 63)</w:t>
      </w:r>
    </w:p>
    <w:p>
      <w:pPr>
        <w:jc w:val="both"/>
      </w:pPr>
      <w:r>
        <w:rPr>
          <w:b w:val="0"/>
          <w:i w:val="0"/>
        </w:rPr>
        <w:t>Não são considerados de uso ou consumo pessoal os bens utilizados preponderantemente na atividade econômica, conforme:</w:t>
      </w:r>
    </w:p>
    <w:p>
      <w:pPr>
        <w:pStyle w:val="ListBullet"/>
      </w:pPr>
      <w:r>
        <w:t>Comercializados ou utilizados para fabricação;</w:t>
      </w:r>
    </w:p>
    <w:p>
      <w:pPr>
        <w:pStyle w:val="ListBullet"/>
      </w:pPr>
      <w:r>
        <w:t>Armas/munições para empresas de segurança;</w:t>
      </w:r>
    </w:p>
    <w:p>
      <w:pPr>
        <w:pStyle w:val="ListBullet"/>
      </w:pPr>
      <w:r>
        <w:t>Bens recreativos/esportivos/estéticos quando fornecidos no estabelecimento físico aos clientes;</w:t>
      </w:r>
    </w:p>
    <w:p>
      <w:pPr>
        <w:pStyle w:val="ListBullet"/>
      </w:pPr>
      <w:r>
        <w:t>Uniformes, fardamentos e EPIs;</w:t>
      </w:r>
    </w:p>
    <w:p>
      <w:pPr>
        <w:pStyle w:val="ListBullet"/>
      </w:pPr>
      <w:r>
        <w:t>Alimentação, bebida não alcoólica, serviços de saúde, creche disponibilizados durante a jornada;</w:t>
      </w:r>
    </w:p>
    <w:p>
      <w:pPr>
        <w:pStyle w:val="ListBullet"/>
      </w:pPr>
      <w:r>
        <w:t>Planos de saúde compulsórios por convenção coletiva;</w:t>
      </w:r>
    </w:p>
    <w:p>
      <w:pPr>
        <w:pStyle w:val="ListBullet"/>
      </w:pPr>
      <w:r>
        <w:t>Vale-transporte, vale-refeição e vale-alimentação;</w:t>
      </w:r>
    </w:p>
    <w:p>
      <w:pPr>
        <w:pStyle w:val="ListBullet"/>
      </w:pPr>
      <w:r>
        <w:t>Benefícios educacionais por convenção coletiva;</w:t>
      </w:r>
    </w:p>
    <w:p>
      <w:pPr>
        <w:pStyle w:val="ListBullet"/>
      </w:pPr>
      <w:r>
        <w:t>Veículos, equipamentos de informática e aparelhos de comunicação fornecidos a empregados para atividades estritamente vinculadas a suas funções;</w:t>
      </w:r>
    </w:p>
    <w:p>
      <w:pPr>
        <w:pStyle w:val="ListBullet"/>
      </w:pPr>
      <w:r>
        <w:t>Descontos especiais a sócios/administradores/empregados desde que não inferiores ao custo (revenda) ou desconto não superior a 25%.</w:t>
      </w:r>
    </w:p>
    <w:p>
      <w:pPr>
        <w:spacing w:before="360" w:after="160"/>
      </w:pPr>
      <w:r>
        <w:rPr>
          <w:b/>
          <w:color w:val="0B3D91"/>
          <w:sz w:val="40"/>
        </w:rPr>
        <w:t>6. Estorno de Créditos (art. 48, 52, 64)</w:t>
      </w:r>
    </w:p>
    <w:p>
      <w:pPr>
        <w:jc w:val="both"/>
      </w:pPr>
      <w:r>
        <w:rPr>
          <w:b w:val="0"/>
          <w:i w:val="0"/>
        </w:rPr>
        <w:t>Estorno obrigatório quando: bem perece, deteriora-se, é roubado, furtado ou extraviado; bem ou serviço destinado a uso ou consumo pessoal; operação destinada a hipótese imune ou isenta. No caso de roubo/furto de ativo imobilizado, o estorno é proporcional ao prazo de vida útil restante.</w:t>
      </w:r>
    </w:p>
    <w:p>
      <w:pPr>
        <w:spacing w:before="360" w:after="160"/>
      </w:pPr>
      <w:r>
        <w:rPr>
          <w:b/>
          <w:color w:val="0B3D91"/>
          <w:sz w:val="40"/>
        </w:rPr>
        <w:t>7. Utilização dos Créditos (art. 53)</w:t>
      </w:r>
    </w:p>
    <w:p>
      <w:pPr>
        <w:jc w:val="both"/>
      </w:pPr>
      <w:r>
        <w:rPr>
          <w:b w:val="0"/>
          <w:i w:val="0"/>
        </w:rPr>
        <w:t>Ordem de utilização:</w:t>
      </w:r>
    </w:p>
    <w:p>
      <w:pPr>
        <w:pStyle w:val="ListNumber"/>
      </w:pPr>
      <w:r>
        <w:t>Compensação com saldo a recolher de períodos anteriores não extintos;</w:t>
      </w:r>
    </w:p>
    <w:p>
      <w:pPr>
        <w:pStyle w:val="ListNumber"/>
      </w:pPr>
      <w:r>
        <w:t>Compensação com débitos do mesmo período (ordem cronológica do art. 26, §1º, I);</w:t>
      </w:r>
    </w:p>
    <w:p>
      <w:pPr>
        <w:pStyle w:val="ListNumber"/>
      </w:pPr>
      <w:r>
        <w:t>Compensação com débitos de períodos subsequentes ou solicitação de ressarcimento.</w:t>
      </w:r>
    </w:p>
    <w:p>
      <w:pPr>
        <w:spacing w:before="360" w:after="160"/>
      </w:pPr>
      <w:r>
        <w:rPr>
          <w:b/>
          <w:color w:val="0B3D91"/>
          <w:sz w:val="40"/>
        </w:rPr>
        <w:t>8. Apropriação Cronológica (art. 54)</w:t>
      </w:r>
    </w:p>
    <w:p>
      <w:pPr>
        <w:jc w:val="both"/>
      </w:pPr>
      <w:r>
        <w:rPr>
          <w:b w:val="0"/>
          <w:i w:val="0"/>
        </w:rPr>
        <w:t>O direito de utilização dos créditos extingue-se em 5 anos contados do primeiro dia do período subsequente ao da apropriação. Os créditos são apropriados e utilizados pelo valor nominal, sem atualização, salvo previsão expressa.</w:t>
      </w:r>
    </w:p>
    <w:p>
      <w:pPr>
        <w:spacing w:before="360" w:after="160"/>
      </w:pPr>
      <w:r>
        <w:rPr>
          <w:b/>
          <w:color w:val="0B3D91"/>
          <w:sz w:val="40"/>
        </w:rPr>
        <w:t>9. Vedação à Transferência (art. 55)</w:t>
      </w:r>
    </w:p>
    <w:p>
      <w:pPr>
        <w:jc w:val="both"/>
      </w:pPr>
      <w:r>
        <w:rPr>
          <w:b w:val="0"/>
          <w:i w:val="0"/>
        </w:rPr>
        <w:t>Vedada a transferência de créditos a outras pessoas, salvo na fusão, cisão ou incorporação, com preservação da data original de apropriação.</w:t>
      </w:r>
    </w:p>
    <w:p>
      <w:pPr>
        <w:spacing w:before="360" w:after="160"/>
      </w:pPr>
      <w:r>
        <w:rPr>
          <w:b/>
          <w:color w:val="0B3D91"/>
          <w:sz w:val="40"/>
        </w:rPr>
        <w:t>10. Devolução, Cancelamento e Correção (art. 57 a 61)</w:t>
      </w:r>
    </w:p>
    <w:p>
      <w:pPr>
        <w:jc w:val="both"/>
      </w:pPr>
      <w:r>
        <w:rPr>
          <w:b w:val="0"/>
          <w:i w:val="0"/>
        </w:rPr>
        <w:t>Em devoluções e cancelamentos, há tratamento detalhado para o estorno cruzado (fornecedor e adquirente), com restabelecimento do crédito ou geração de débito conforme a modalidade de extinção do débito original. As correções pós-fornecimento por erro na emissão também seguem fluxo formalizado.</w:t>
      </w:r>
    </w:p>
    <w:p>
      <w:pPr>
        <w:spacing w:before="360" w:after="160"/>
      </w:pPr>
      <w:r>
        <w:rPr>
          <w:b/>
          <w:color w:val="0B3D91"/>
          <w:sz w:val="40"/>
        </w:rPr>
        <w:t>11.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A confirmação automática da extinção do débito do fornecedor é determinante para a apropriação do crédito. O ERP deverá monitorar o status de cada documento fiscal recebido. O bloqueio de créditos por inidoneidade do fornecedor é risco material — recomenda-se cláusula contratual de regularidade fiscal e validação automatizada antes do pagamento.</w:t>
            </w:r>
          </w:p>
        </w:tc>
      </w:tr>
    </w:tbl>
    <w:p/>
    <w:p>
      <w:pPr>
        <w:jc w:val="both"/>
      </w:pPr>
      <w:r>
        <w:rPr>
          <w:b w:val="0"/>
          <w:i w:val="0"/>
        </w:rPr>
        <w:t>Empresas com elevada base de fornecedores Simples Nacional devem reavaliar sua matriz de compras: o crédito limitado ao valor do DAS pode tornar economicamente desfavorável manter esses fornecedores em determinadas operações.</w:t>
      </w:r>
    </w:p>
    <w:p>
      <w:pPr>
        <w:spacing w:before="360" w:after="160"/>
      </w:pPr>
      <w:r>
        <w:rPr>
          <w:b/>
          <w:color w:val="0B3D91"/>
          <w:sz w:val="40"/>
        </w:rPr>
        <w:t>12. Exemplo Prático</w:t>
      </w:r>
    </w:p>
    <w:p>
      <w:pPr>
        <w:jc w:val="both"/>
      </w:pPr>
      <w:r>
        <w:rPr>
          <w:b/>
          <w:i w:val="0"/>
        </w:rPr>
        <w:t>Aquisição de matéria-prima por R$ 100.000,00 com CBS de 8,8%, fornecedor regime regular:</w:t>
      </w:r>
    </w:p>
    <w:p>
      <w:pPr>
        <w:pStyle w:val="ListBullet"/>
      </w:pPr>
      <w:r>
        <w:t>Valor da operação: R$ 100.000,00</w:t>
      </w:r>
    </w:p>
    <w:p>
      <w:pPr>
        <w:pStyle w:val="ListBullet"/>
      </w:pPr>
      <w:r>
        <w:t>CBS destacada: R$ 8.800,00 (creditável após confirmação de extinção do débito do fornecedor)</w:t>
      </w:r>
    </w:p>
    <w:p>
      <w:pPr>
        <w:pStyle w:val="ListBullet"/>
      </w:pPr>
      <w:r>
        <w:t>Caso o fornecedor não recolha integralmente: o crédito proporcional fica indisponível até regularização (art. 291, II)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