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Sujeição Passiva e Responsabilidade Tributária</w:t>
        <w:br/>
      </w:r>
    </w:p>
    <w:p>
      <w:pPr>
        <w:jc w:val="center"/>
      </w:pPr>
      <w:r>
        <w:rPr>
          <w:color w:val="1F4E79"/>
          <w:sz w:val="28"/>
        </w:rPr>
        <w:t>Seção VII do Capítulo II do Título I do Livro I (art. 19 a 25) e art. 71 a 73, 83 a 86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TEMA-04-Sujeicao-Passiva-Responsabilidade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Contribuintes da CBS (art. 19)</w:t>
      </w:r>
    </w:p>
    <w:p>
      <w:pPr>
        <w:pStyle w:val="ListBullet"/>
      </w:pPr>
      <w:r>
        <w:t>Fornecedor que realiza operações no desenvolvimento de atividade econômica, de modo habitual ou em volume que caracterize atividade econômica, ou de forma profissional;</w:t>
      </w:r>
    </w:p>
    <w:p>
      <w:pPr>
        <w:pStyle w:val="ListBullet"/>
      </w:pPr>
      <w:r>
        <w:t>Adquirente em licitação de bem apreendido/abandonado ou leilão judicial;</w:t>
      </w:r>
    </w:p>
    <w:p>
      <w:pPr>
        <w:pStyle w:val="ListBullet"/>
      </w:pPr>
      <w:r>
        <w:t>Importador;</w:t>
      </w:r>
    </w:p>
    <w:p>
      <w:pPr>
        <w:pStyle w:val="ListBullet"/>
      </w:pPr>
      <w:r>
        <w:t>Demais previstos em hipóteses específicas.</w:t>
      </w:r>
    </w:p>
    <w:p>
      <w:pPr>
        <w:spacing w:before="360" w:after="160"/>
      </w:pPr>
      <w:r>
        <w:rPr>
          <w:b/>
          <w:color w:val="0B3D91"/>
          <w:sz w:val="40"/>
        </w:rPr>
        <w:t>2. Plataformas Digitais (art. 20 a 21)</w:t>
      </w:r>
    </w:p>
    <w:p>
      <w:pPr>
        <w:jc w:val="both"/>
      </w:pPr>
      <w:r>
        <w:rPr>
          <w:b w:val="0"/>
          <w:i w:val="0"/>
        </w:rPr>
        <w:t>As plataformas digitais, mesmo domiciliadas no exterior, são responsáveis pela CBS em operações intermediadas:</w:t>
      </w:r>
    </w:p>
    <w:p>
      <w:pPr>
        <w:pStyle w:val="ListBullet"/>
      </w:pPr>
      <w:r>
        <w:t>Solidariamente com adquirente/destinatário e em substituição ao fornecedor estrangeiro;</w:t>
      </w:r>
    </w:p>
    <w:p>
      <w:pPr>
        <w:pStyle w:val="ListBullet"/>
      </w:pPr>
      <w:r>
        <w:t>Solidariamente com fornecedor nacional quando: (i) não fornecer informações; (ii) fornecedor for contribuinte e não emitir documento fiscal; (iii) não houver registro em documento fiscal.</w:t>
      </w:r>
    </w:p>
    <w:p>
      <w:pPr>
        <w:jc w:val="both"/>
      </w:pPr>
      <w:r>
        <w:rPr>
          <w:b w:val="0"/>
          <w:i w:val="0"/>
        </w:rPr>
        <w:t>Plataforma digital é a que atua como intermediária e controla pelo menos um dos elementos: cobrança, pagamento, definição de termos e condições, ou entrega. Excluem-se: provedor de internet, instituição de pagamento autorizada pelo BCB, publicidade e busca/comparação sem cobrança por venda.</w:t>
      </w:r>
    </w:p>
    <w:p>
      <w:pPr>
        <w:spacing w:before="360" w:after="160"/>
      </w:pPr>
      <w:r>
        <w:rPr>
          <w:b/>
          <w:color w:val="0B3D91"/>
          <w:sz w:val="40"/>
        </w:rPr>
        <w:t>3. Não Contribuintes (art. 25)</w:t>
      </w:r>
    </w:p>
    <w:p>
      <w:pPr>
        <w:jc w:val="both"/>
      </w:pPr>
      <w:r>
        <w:rPr>
          <w:b w:val="0"/>
          <w:i w:val="0"/>
        </w:rPr>
        <w:t>Não são contribuintes da CBS, ressalvado o disposto no art. 19, III (importador):</w:t>
      </w:r>
    </w:p>
    <w:p>
      <w:pPr>
        <w:pStyle w:val="ListBullet"/>
      </w:pPr>
      <w:r>
        <w:t>Condomínio edilício;</w:t>
      </w:r>
    </w:p>
    <w:p>
      <w:pPr>
        <w:pStyle w:val="ListBullet"/>
      </w:pPr>
      <w:r>
        <w:t>Consórcio do art. 278 da Lei 6.404/1976;</w:t>
      </w:r>
    </w:p>
    <w:p>
      <w:pPr>
        <w:pStyle w:val="ListBullet"/>
      </w:pPr>
      <w:r>
        <w:t>Sociedade em conta de participação;</w:t>
      </w:r>
    </w:p>
    <w:p>
      <w:pPr>
        <w:pStyle w:val="ListBullet"/>
      </w:pPr>
      <w:r>
        <w:t>Nanoempreendedor (PF com receita inferior a 50% do limite MEI);</w:t>
      </w:r>
    </w:p>
    <w:p>
      <w:pPr>
        <w:pStyle w:val="ListBullet"/>
      </w:pPr>
      <w:r>
        <w:t>Fundos de investimento (com regras específicas);</w:t>
      </w:r>
    </w:p>
    <w:p>
      <w:pPr>
        <w:pStyle w:val="ListBullet"/>
      </w:pPr>
      <w:r>
        <w:t>Produtor rural pessoa física/jurídica com receita anual &lt; R$ 3.600.000,00;</w:t>
      </w:r>
    </w:p>
    <w:p>
      <w:pPr>
        <w:pStyle w:val="ListBullet"/>
      </w:pPr>
      <w:r>
        <w:t>Transportador autônomo de carga;</w:t>
      </w:r>
    </w:p>
    <w:p>
      <w:pPr>
        <w:pStyle w:val="ListBullet"/>
      </w:pPr>
      <w:r>
        <w:t>Entidade ou unidade de natureza econômico-contábil sem fins lucrativos com plano de saúde de autogestão;</w:t>
      </w:r>
    </w:p>
    <w:p>
      <w:pPr>
        <w:pStyle w:val="ListBullet"/>
      </w:pPr>
      <w:r>
        <w:t>Entidades fechadas de previdência complementar (LC 109/2001);</w:t>
      </w:r>
    </w:p>
    <w:p>
      <w:pPr>
        <w:pStyle w:val="ListBullet"/>
      </w:pPr>
      <w:r>
        <w:t>Fundos patrimoniais (Lei 13.800/2019).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Há possibilidade de opção facultativa pelo regime regular — irretratável por ao menos 12 meses; iniciada a opção pelo Simples Nacional ou condição de não contribuinte após ressarcimento de créditos, fica vedada a saída do regime regular no mesmo ano-calendário ou no anterior (art. 41, §5º).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Responsáveis Solidários (art. 23)</w:t>
      </w:r>
    </w:p>
    <w:p>
      <w:pPr>
        <w:pStyle w:val="ListBullet"/>
      </w:pPr>
      <w:r>
        <w:t>Pessoa que adquire/recebe/depositar/toma serviço sem documento fiscal idôneo;</w:t>
      </w:r>
    </w:p>
    <w:p>
      <w:pPr>
        <w:pStyle w:val="ListBullet"/>
      </w:pPr>
      <w:r>
        <w:t>Transportador (inclusive serviço postal) por bem desacobertado ou entregue em local distinto;</w:t>
      </w:r>
    </w:p>
    <w:p>
      <w:pPr>
        <w:pStyle w:val="ListBullet"/>
      </w:pPr>
      <w:r>
        <w:t>Leiloeiro pelo tributo da operação realizada em leilão;</w:t>
      </w:r>
    </w:p>
    <w:p>
      <w:pPr>
        <w:pStyle w:val="ListBullet"/>
      </w:pPr>
      <w:r>
        <w:t>Desenvolvedores/fornecedores de softwares com função para descumprimento;</w:t>
      </w:r>
    </w:p>
    <w:p>
      <w:pPr>
        <w:pStyle w:val="ListBullet"/>
      </w:pPr>
      <w:r>
        <w:t>Pessoa que concorra para descumprimento por ocultação ou abuso de personalidade (até o valor ocultado);</w:t>
      </w:r>
    </w:p>
    <w:p>
      <w:pPr>
        <w:pStyle w:val="ListBullet"/>
      </w:pPr>
      <w:r>
        <w:t>Entreposto aduaneiro/recinto alfandegado/depositário/despachante por bem destinado ao exterior sem documento, recebido para exportação não exportado, destinado a pessoa diversa, importado e entregue sem autorização;</w:t>
      </w:r>
    </w:p>
    <w:p>
      <w:pPr>
        <w:pStyle w:val="ListBullet"/>
      </w:pPr>
      <w:r>
        <w:t>Rerrefinadores ou coletores autorizados pela ANP (óleo lubrificante usado/contaminado).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A responsabilidade compreende correção, atualização, multa de mora, multas punitivas e demais encargos (art. 24).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5. Responsabilidade no Comércio Exterior</w:t>
      </w:r>
    </w:p>
    <w:p>
      <w:pPr>
        <w:jc w:val="both"/>
      </w:pPr>
      <w:r>
        <w:rPr>
          <w:b w:val="0"/>
          <w:i w:val="0"/>
        </w:rPr>
        <w:t>Importação de bens materiais (art. 84 e 85): transportador (extravio até descarga); depositário (extravio após descarga); beneficiário de regime especial; responsável solidário (registro de DI em nome próprio para terceiro, encomendante predeterminado, representante de transportador estrangeiro, expedidor/operador de transporte multimodal, tomador de afretamento).</w:t>
      </w:r>
    </w:p>
    <w:p>
      <w:pPr>
        <w:jc w:val="both"/>
      </w:pPr>
      <w:r>
        <w:rPr>
          <w:b w:val="0"/>
          <w:i w:val="0"/>
        </w:rPr>
        <w:t>Importação de serviços/bens imateriais: o adquirente é o contribuinte (art. 69), com responsabilidade solidária do fornecedor estrangeiro e da plataforma digital.</w:t>
      </w:r>
    </w:p>
    <w:p>
      <w:pPr>
        <w:spacing w:before="360" w:after="160"/>
      </w:pPr>
      <w:r>
        <w:rPr>
          <w:b/>
          <w:color w:val="0B3D91"/>
          <w:sz w:val="40"/>
        </w:rPr>
        <w:t>6. Modalidade de Recolhimento</w:t>
      </w:r>
    </w:p>
    <w:p>
      <w:pPr>
        <w:pStyle w:val="ListBullet"/>
      </w:pPr>
      <w:r>
        <w:t>Pelo contribuinte (art. 27);</w:t>
      </w:r>
    </w:p>
    <w:p>
      <w:pPr>
        <w:pStyle w:val="ListBullet"/>
      </w:pPr>
      <w:r>
        <w:t>Por split payment (art. 28 a 35);</w:t>
      </w:r>
    </w:p>
    <w:p>
      <w:pPr>
        <w:pStyle w:val="ListBullet"/>
      </w:pPr>
      <w:r>
        <w:t>Pelo adquirente (art. 36) — quando o pagamento se dá por instrumento que não permite split payment;</w:t>
      </w:r>
    </w:p>
    <w:p>
      <w:pPr>
        <w:pStyle w:val="ListBullet"/>
      </w:pPr>
      <w:r>
        <w:t>Pelo responsável (art. 37).</w:t>
      </w:r>
    </w:p>
    <w:p>
      <w:pPr>
        <w:spacing w:before="360" w:after="160"/>
      </w:pPr>
      <w:r>
        <w:rPr>
          <w:b/>
          <w:color w:val="0B3D91"/>
          <w:sz w:val="40"/>
        </w:rPr>
        <w:t>7.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A inscrição obrigatória no cadastro com identificação única abrange entidades historicamente fora do radar fiscal: condomínios, fundos, SCP. Empresas que utilizam essas estruturas em operações comerciais devem revisitar sua arquitetura societária à luz do novo regime.</w:t>
            </w:r>
          </w:p>
        </w:tc>
      </w:tr>
    </w:tbl>
    <w:p/>
    <w:p>
      <w:pPr>
        <w:jc w:val="both"/>
      </w:pPr>
      <w:r>
        <w:rPr>
          <w:b w:val="0"/>
          <w:i w:val="0"/>
        </w:rPr>
        <w:t>Plataformas digitais nacionais e estrangeiras precisarão estabelecer fluxos sólidos de coleta de informações dos fornecedores e integração com a plataforma RFB/CGIBS, sob pena de responsabilização solidária.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