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Split Payment — Recolhimento na Liquidação Financeira</w:t>
        <w:br/>
      </w:r>
    </w:p>
    <w:p>
      <w:pPr>
        <w:jc w:val="center"/>
      </w:pPr>
      <w:r>
        <w:rPr>
          <w:color w:val="1F4E79"/>
          <w:sz w:val="28"/>
        </w:rPr>
        <w:t>Subseção III da Seção VIII do Título I do Livro I (art. 28 a 35)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TEMA-05-Split-Payment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Conceito e Finalidade</w:t>
      </w:r>
    </w:p>
    <w:p>
      <w:pPr>
        <w:jc w:val="both"/>
      </w:pPr>
      <w:r>
        <w:rPr>
          <w:b w:val="0"/>
          <w:i w:val="0"/>
        </w:rPr>
        <w:t>O split payment é o mecanismo pelo qual prestadores de serviço de pagamento eletrônico e instituições operadoras de sistemas de pagamento segregam e recolhem à RFB os valores da CBS no momento da liquidação financeira da transação. Sua finalidade é antecipar e garantir o recolhimento, reduzir a inadimplência fiscal e modernizar o ambiente de pagamentos.</w:t>
      </w:r>
    </w:p>
    <w:p>
      <w:pPr>
        <w:spacing w:before="360" w:after="160"/>
      </w:pPr>
      <w:r>
        <w:rPr>
          <w:b/>
          <w:color w:val="0B3D91"/>
          <w:sz w:val="40"/>
        </w:rPr>
        <w:t>2. Arranjos Sujeitos (art. 28, §5º)</w:t>
      </w:r>
    </w:p>
    <w:p>
      <w:pPr>
        <w:pStyle w:val="ListBullet"/>
      </w:pPr>
      <w:r>
        <w:t>Boleto;</w:t>
      </w:r>
    </w:p>
    <w:p>
      <w:pPr>
        <w:pStyle w:val="ListBullet"/>
      </w:pPr>
      <w:r>
        <w:t>Pix mediante QR Code Dinâmico;</w:t>
      </w:r>
    </w:p>
    <w:p>
      <w:pPr>
        <w:pStyle w:val="ListBullet"/>
      </w:pPr>
      <w:r>
        <w:t>Pix automático;</w:t>
      </w:r>
    </w:p>
    <w:p>
      <w:pPr>
        <w:pStyle w:val="ListBullet"/>
      </w:pPr>
      <w:r>
        <w:t>Pix mediante QR Code Estático;</w:t>
      </w:r>
    </w:p>
    <w:p>
      <w:pPr>
        <w:pStyle w:val="ListBullet"/>
      </w:pPr>
      <w:r>
        <w:t>Pix mediante chave Pix ou agência/conta;</w:t>
      </w:r>
    </w:p>
    <w:p>
      <w:pPr>
        <w:pStyle w:val="ListBullet"/>
      </w:pPr>
      <w:r>
        <w:t>TED — Transferência Eletrônica Disponível;</w:t>
      </w:r>
    </w:p>
    <w:p>
      <w:pPr>
        <w:pStyle w:val="ListBullet"/>
      </w:pPr>
      <w:r>
        <w:t>TEF — Transferência Eletrônica de Fundos;</w:t>
      </w:r>
    </w:p>
    <w:p>
      <w:pPr>
        <w:pStyle w:val="ListBullet"/>
      </w:pPr>
      <w:r>
        <w:t>Cartão de crédito;</w:t>
      </w:r>
    </w:p>
    <w:p>
      <w:pPr>
        <w:pStyle w:val="ListBullet"/>
      </w:pPr>
      <w:r>
        <w:t>Cartão de débito;</w:t>
      </w:r>
    </w:p>
    <w:p>
      <w:pPr>
        <w:pStyle w:val="ListBullet"/>
      </w:pPr>
      <w:r>
        <w:t>Cartão pré-pago;</w:t>
      </w:r>
    </w:p>
    <w:p>
      <w:pPr>
        <w:pStyle w:val="ListBullet"/>
      </w:pPr>
      <w:r>
        <w:t>Voucher (arranjos abertos e fechados);</w:t>
      </w:r>
    </w:p>
    <w:p>
      <w:pPr>
        <w:pStyle w:val="ListBullet"/>
      </w:pPr>
      <w:r>
        <w:t>Outros previstos em ato conjunto.</w:t>
      </w:r>
    </w:p>
    <w:p>
      <w:pPr>
        <w:spacing w:before="360" w:after="160"/>
      </w:pPr>
      <w:r>
        <w:rPr>
          <w:b/>
          <w:color w:val="0B3D91"/>
          <w:sz w:val="40"/>
        </w:rPr>
        <w:t>3. Procedimento Padrão (art. 29)</w:t>
      </w:r>
    </w:p>
    <w:p>
      <w:pPr>
        <w:pStyle w:val="ListBullet"/>
      </w:pPr>
      <w:r>
        <w:t>Originador da transação transmite ao PSP informações que permitam vincular operações e identificar o valor da CBS;</w:t>
      </w:r>
    </w:p>
    <w:p>
      <w:pPr>
        <w:pStyle w:val="ListBullet"/>
      </w:pPr>
      <w:r>
        <w:t>PSP consulta a plataforma pública RFB/CGIBS sobre os valores a segregar e recolher;</w:t>
      </w:r>
    </w:p>
    <w:p>
      <w:pPr>
        <w:pStyle w:val="ListBullet"/>
      </w:pPr>
      <w:r>
        <w:t>PSP segrega o valor (diferença entre CBS destacada no documento fiscal e parcelas já extintas);</w:t>
      </w:r>
    </w:p>
    <w:p>
      <w:pPr>
        <w:pStyle w:val="ListBullet"/>
      </w:pPr>
      <w:r>
        <w:t>PSP recolhe diretamente à RFB e disponibiliza o restante ao fornecedor;</w:t>
      </w:r>
    </w:p>
    <w:p>
      <w:pPr>
        <w:pStyle w:val="ListBullet"/>
      </w:pPr>
      <w:r>
        <w:t>Caso a consulta não possa ser efetuada, segrega-se o valor com base nas informações recebidas e a RFB ajusta posteriormente, com transferência ao fornecedor em até 3 dias úteis.</w:t>
      </w:r>
    </w:p>
    <w:p>
      <w:pPr>
        <w:spacing w:before="360" w:after="160"/>
      </w:pPr>
      <w:r>
        <w:rPr>
          <w:b/>
          <w:color w:val="0B3D91"/>
          <w:sz w:val="40"/>
        </w:rPr>
        <w:t>4. Procedimento Simplificado (art. 30)</w:t>
      </w:r>
    </w:p>
    <w:p>
      <w:pPr>
        <w:jc w:val="both"/>
      </w:pPr>
      <w:r>
        <w:rPr>
          <w:b w:val="0"/>
          <w:i w:val="0"/>
        </w:rPr>
        <w:t>Modalidade opcional em que se aplica percentual preestabelecido sobre o valor da operação (definido por ato conjunto, podendo ser diferenciado por setor ou contribuinte). Aplica-se compulsoriamente quando o originador não identifica o valor da CBS na transação.</w:t>
      </w:r>
    </w:p>
    <w:p>
      <w:pPr>
        <w:jc w:val="both"/>
      </w:pPr>
      <w:r>
        <w:rPr>
          <w:b w:val="0"/>
          <w:i w:val="0"/>
        </w:rPr>
        <w:t>O recolhimento via simplificado:</w:t>
      </w:r>
    </w:p>
    <w:p>
      <w:pPr>
        <w:pStyle w:val="ListBullet"/>
      </w:pPr>
      <w:r>
        <w:t>Não guarda relação com a CBS efetivamente incidente;</w:t>
      </w:r>
    </w:p>
    <w:p>
      <w:pPr>
        <w:pStyle w:val="ListBullet"/>
      </w:pPr>
      <w:r>
        <w:t>É utilizado para pagamento de débitos do contribuinte em ordem cronológica;</w:t>
      </w:r>
    </w:p>
    <w:p>
      <w:pPr>
        <w:pStyle w:val="ListBullet"/>
      </w:pPr>
      <w:r>
        <w:t>Excedente é transferido ao fornecedor em até 3 dias úteis após apuração;</w:t>
      </w:r>
    </w:p>
    <w:p>
      <w:pPr>
        <w:pStyle w:val="ListBullet"/>
      </w:pPr>
      <w:r>
        <w:t>Não gera direito a crédito ao adquirente.</w:t>
      </w:r>
    </w:p>
    <w:p>
      <w:pPr>
        <w:spacing w:before="360" w:after="160"/>
      </w:pPr>
      <w:r>
        <w:rPr>
          <w:b/>
          <w:color w:val="0B3D91"/>
          <w:sz w:val="40"/>
        </w:rPr>
        <w:t>5. Implementação Gradual (art. 33)</w:t>
      </w:r>
    </w:p>
    <w:p>
      <w:pPr>
        <w:jc w:val="both"/>
      </w:pPr>
      <w:r>
        <w:rPr>
          <w:b w:val="0"/>
          <w:i w:val="0"/>
        </w:rPr>
        <w:t>A implementação será em pelo menos duas etapas. Na primeira, prevê-se uso facultativo, restrito ao procedimento padrão e a operações com adquirentes do regime regular. Em etapa posterior, todos os arranjos previstos no art. 28, §5º deverão se habilitar ao procedimento simplificado, e o split payment passará a vigorar simultaneamente para todos os arranjos quando o adquirente não for contribuinte do regime regular.</w:t>
      </w:r>
    </w:p>
    <w:p>
      <w:pPr>
        <w:spacing w:before="360" w:after="160"/>
      </w:pPr>
      <w:r>
        <w:rPr>
          <w:b/>
          <w:color w:val="0B3D91"/>
          <w:sz w:val="40"/>
        </w:rPr>
        <w:t>6. Plataformas Digitais (art. 32)</w:t>
      </w:r>
    </w:p>
    <w:p>
      <w:pPr>
        <w:jc w:val="both"/>
      </w:pPr>
      <w:r>
        <w:rPr>
          <w:b w:val="0"/>
          <w:i w:val="0"/>
        </w:rPr>
        <w:t>Quando o processo de pagamento é iniciado por plataforma digital (art. 20), aplicam-se os procedimentos definidos nos art. 20 e 21, com a plataforma assumindo papel central na originação da transação.</w:t>
      </w:r>
    </w:p>
    <w:p>
      <w:pPr>
        <w:spacing w:before="360" w:after="160"/>
      </w:pPr>
      <w:r>
        <w:rPr>
          <w:b/>
          <w:color w:val="0B3D91"/>
          <w:sz w:val="40"/>
        </w:rPr>
        <w:t>7. Responsabilidade dos PSP e Operadores</w:t>
      </w:r>
    </w:p>
    <w:p>
      <w:pPr>
        <w:jc w:val="both"/>
      </w:pPr>
      <w:r>
        <w:rPr>
          <w:b w:val="0"/>
          <w:i w:val="0"/>
        </w:rPr>
        <w:t>O PSP/operador é responsável pela segregação e recolhimento, mas:</w:t>
      </w:r>
    </w:p>
    <w:p>
      <w:pPr>
        <w:pStyle w:val="ListBullet"/>
      </w:pPr>
      <w:r>
        <w:t>Não valida informações transmitidas pelo originador (art. 35, I);</w:t>
      </w:r>
    </w:p>
    <w:p>
      <w:pPr>
        <w:pStyle w:val="ListBullet"/>
      </w:pPr>
      <w:r>
        <w:t>Não valida dados recebidos da RFB (art. 35, II);</w:t>
      </w:r>
    </w:p>
    <w:p>
      <w:pPr>
        <w:pStyle w:val="ListBullet"/>
      </w:pPr>
      <w:r>
        <w:t>Não devolve ao recebedor valores recolhidos a maior em razão do split (art. 35, III);</w:t>
      </w:r>
    </w:p>
    <w:p>
      <w:pPr>
        <w:pStyle w:val="ListBullet"/>
      </w:pPr>
      <w:r>
        <w:t>Não informa critérios da RFB ao recebedor (art. 35, IV);</w:t>
      </w:r>
    </w:p>
    <w:p>
      <w:pPr>
        <w:pStyle w:val="ListBullet"/>
      </w:pPr>
      <w:r>
        <w:t>Não responde por falhas de comunicação por indisponibilidade da plataforma (art. 35, V);</w:t>
      </w:r>
    </w:p>
    <w:p>
      <w:pPr>
        <w:pStyle w:val="ListBullet"/>
      </w:pPr>
      <w:r>
        <w:t>Não responde tributariamente pela CBS sobre as operações cujo pagamento liquide (art. 31, V, b).</w:t>
      </w:r>
    </w:p>
    <w:p>
      <w:pPr>
        <w:spacing w:before="360" w:after="160"/>
      </w:pPr>
      <w:r>
        <w:rPr>
          <w:b/>
          <w:color w:val="0B3D91"/>
          <w:sz w:val="40"/>
        </w:rPr>
        <w:t>8. Penalidades Específicas (art. 579 e 580)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Infração</w:t>
            </w:r>
          </w:p>
        </w:tc>
        <w:tc>
          <w:tcPr>
            <w:tcW w:type="dxa" w:w="3402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Penalidade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Deixar de segregar/segregar em desacordo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0,1 UPF por transação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Deixar de recolher/recolher em atraso ou a menor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Multa de mora de 3% por mês ou fração + Selic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20"/>
              </w:rPr>
              <w:t>Comunicar em atraso/desacordo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0,001 UPF por transação por dia</w:t>
            </w:r>
          </w:p>
        </w:tc>
      </w:tr>
    </w:tbl>
    <w:p/>
    <w:p>
      <w:pPr>
        <w:jc w:val="both"/>
      </w:pPr>
      <w:r>
        <w:rPr>
          <w:b w:val="0"/>
          <w:i w:val="0"/>
        </w:rPr>
        <w:t>Há limites de tolerância (até 1% nos primeiros 24 meses; 0,5% após). Acima do limite, configura-se prática reiterada com possível suspensão/cassação de autorização e inaptidão do CNPJ (art. 580).</w:t>
      </w:r>
    </w:p>
    <w:p>
      <w:pPr>
        <w:spacing w:before="360" w:after="160"/>
      </w:pPr>
      <w:r>
        <w:rPr>
          <w:b/>
          <w:color w:val="0B3D91"/>
          <w:sz w:val="40"/>
        </w:rPr>
        <w:t>9. Impactos Operacionais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BE5D6"/>
          </w:tcPr>
          <w:p>
            <w:r/>
            <w:r>
              <w:rPr>
                <w:b/>
                <w:sz w:val="20"/>
              </w:rPr>
              <w:t>✖ RISCO RELEVANTE</w:t>
            </w:r>
          </w:p>
          <w:p>
            <w:r>
              <w:rPr>
                <w:sz w:val="22"/>
              </w:rPr>
              <w:t>O split payment exige integração tecnológica imediata entre ERP, sistemas de cobrança/recebimento e a plataforma pública RFB/CGIBS. Empresas com sistemas legados ou múltiplos canais de pagamento não integrados precisarão de roadmap urgente de adequação. Em arranjos como Pix QR estático, o procedimento simplificado é praticamente compulsório, com impacto direto na conciliação financeira e tesouraria.</w:t>
            </w:r>
          </w:p>
        </w:tc>
      </w:tr>
    </w:tbl>
    <w:p/>
    <w:p>
      <w:pPr>
        <w:jc w:val="both"/>
      </w:pPr>
      <w:r>
        <w:rPr>
          <w:b w:val="0"/>
          <w:i w:val="0"/>
        </w:rPr>
        <w:t>Recomendações:</w:t>
      </w:r>
    </w:p>
    <w:p>
      <w:pPr>
        <w:pStyle w:val="ListBullet"/>
      </w:pPr>
      <w:r>
        <w:t>Mapear todos os arranjos de pagamento utilizados (cobrança e desembolso);</w:t>
      </w:r>
    </w:p>
    <w:p>
      <w:pPr>
        <w:pStyle w:val="ListBullet"/>
      </w:pPr>
      <w:r>
        <w:t>Identificar adequação da emissão do documento fiscal ao split (vinculação operação x pagamento);</w:t>
      </w:r>
    </w:p>
    <w:p>
      <w:pPr>
        <w:pStyle w:val="ListBullet"/>
      </w:pPr>
      <w:r>
        <w:t>Negociar com PSPs/adquirentes a roadmap de integração;</w:t>
      </w:r>
    </w:p>
    <w:p>
      <w:pPr>
        <w:pStyle w:val="ListBullet"/>
      </w:pPr>
      <w:r>
        <w:t>Acompanhar atos conjuntos RFB/CGIBS para conhecer os percentuais do procedimento simplificado;</w:t>
      </w:r>
    </w:p>
    <w:p>
      <w:pPr>
        <w:pStyle w:val="ListBullet"/>
      </w:pPr>
      <w:r>
        <w:t>Estruturar conciliação tesouraria-fiscal automatizada;</w:t>
      </w:r>
    </w:p>
    <w:p>
      <w:pPr>
        <w:pStyle w:val="ListBullet"/>
      </w:pPr>
      <w:r>
        <w:t>Avaliar impacto sobre o capital de giro — o recolhimento da CBS antecede o ciclo de apuração mensal.</w:t>
      </w:r>
    </w:p>
    <w:p>
      <w:pPr>
        <w:spacing w:before="360" w:after="160"/>
      </w:pPr>
      <w:r>
        <w:rPr>
          <w:b/>
          <w:color w:val="0B3D91"/>
          <w:sz w:val="40"/>
        </w:rPr>
        <w:t>10. Exemplo Prático</w:t>
      </w:r>
    </w:p>
    <w:p>
      <w:pPr>
        <w:jc w:val="both"/>
      </w:pPr>
      <w:r>
        <w:rPr>
          <w:b/>
          <w:i w:val="0"/>
        </w:rPr>
        <w:t>Empresa vende mercadoria por R$ 50.000,00 (CBS destacada R$ 4.400,00) recebida por boleto bancário em 30 dias.</w:t>
      </w:r>
    </w:p>
    <w:p>
      <w:pPr>
        <w:jc w:val="both"/>
      </w:pPr>
      <w:r>
        <w:rPr>
          <w:b/>
          <w:i w:val="0"/>
        </w:rPr>
        <w:t>Fluxo:</w:t>
      </w:r>
    </w:p>
    <w:p>
      <w:pPr>
        <w:pStyle w:val="ListNumber"/>
      </w:pPr>
      <w:r>
        <w:t>Empresa emite NF-e com vinculação ao boleto;</w:t>
      </w:r>
    </w:p>
    <w:p>
      <w:pPr>
        <w:pStyle w:val="ListNumber"/>
      </w:pPr>
      <w:r>
        <w:t>Cliente paga o boleto: o banco do cliente debita R$ 50.000,00;</w:t>
      </w:r>
    </w:p>
    <w:p>
      <w:pPr>
        <w:pStyle w:val="ListNumber"/>
      </w:pPr>
      <w:r>
        <w:t>Banco segrega R$ 4.400,00 e recolhe à RFB; transfere R$ 45.600,00 ao banco do fornecedor;</w:t>
      </w:r>
    </w:p>
    <w:p>
      <w:pPr>
        <w:pStyle w:val="ListNumber"/>
      </w:pPr>
      <w:r>
        <w:t>RFB extingue automaticamente o débito da CBS da empresa relativo a essa operação;</w:t>
      </w:r>
    </w:p>
    <w:p>
      <w:pPr>
        <w:pStyle w:val="ListNumber"/>
      </w:pPr>
      <w:r>
        <w:t>Empresa recebe líquidos R$ 45.600,00 (já abatida a CBS).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