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br/>
        <w:br/>
        <w:t>REFORMA TRIBUTÁRIA — CBS</w:t>
      </w:r>
    </w:p>
    <w:p>
      <w:pPr>
        <w:jc w:val="center"/>
      </w:pPr>
      <w:r>
        <w:rPr>
          <w:i/>
          <w:color w:val="595959"/>
          <w:sz w:val="26"/>
        </w:rPr>
        <w:t>Decreto nº 12.955, de 29 de abril de 2026</w:t>
      </w:r>
    </w:p>
    <w:p>
      <w:pPr>
        <w:jc w:val="center"/>
      </w:pPr>
      <w:r>
        <w:rPr>
          <w:b/>
          <w:color w:val="0B3D91"/>
          <w:sz w:val="56"/>
        </w:rPr>
        <w:br/>
        <w:br/>
        <w:t>Importação e Exportação na CBS</w:t>
        <w:br/>
      </w:r>
    </w:p>
    <w:p>
      <w:pPr>
        <w:jc w:val="center"/>
      </w:pPr>
      <w:r>
        <w:rPr>
          <w:color w:val="1F4E79"/>
          <w:sz w:val="28"/>
        </w:rPr>
        <w:t>Capítulos III e IV do Título I do Livro I (art. 65 a 103)</w:t>
      </w:r>
    </w:p>
    <w:p/>
    <w:p/>
    <w:p/>
    <w:p/>
    <w:p/>
    <w:p/>
    <w:tbl>
      <w:tblPr>
        <w:tblStyle w:val="LightShading-Accent1"/>
        <w:tblW w:type="auto" w:w="0"/>
        <w:tblLook w:firstColumn="1" w:firstRow="1" w:lastColumn="0" w:lastRow="0" w:noHBand="0" w:noVBand="1" w:val="04A0"/>
      </w:tblPr>
      <w:tblGrid>
        <w:gridCol w:w="4844"/>
        <w:gridCol w:w="4844"/>
      </w:tblGrid>
      <w:tr>
        <w:tc>
          <w:tcPr>
            <w:tcW w:type="dxa" w:w="4844"/>
          </w:tcPr>
          <w:p>
            <w:r>
              <w:rPr>
                <w:b/>
              </w:rPr>
              <w:t>Código do Documento</w:t>
            </w:r>
          </w:p>
        </w:tc>
        <w:tc>
          <w:tcPr>
            <w:tcW w:type="dxa" w:w="4844"/>
          </w:tcPr>
          <w:p>
            <w:r>
              <w:t>TEMA-06-Importacao-Exportacao</w:t>
            </w:r>
          </w:p>
        </w:tc>
      </w:tr>
      <w:tr>
        <w:tc>
          <w:tcPr>
            <w:tcW w:type="dxa" w:w="4844"/>
          </w:tcPr>
          <w:p>
            <w:r>
              <w:rPr>
                <w:b/>
              </w:rPr>
              <w:t>Data de Elaboração</w:t>
            </w:r>
          </w:p>
        </w:tc>
        <w:tc>
          <w:tcPr>
            <w:tcW w:type="dxa" w:w="4844"/>
          </w:tcPr>
          <w:p>
            <w:r>
              <w:t>30/04/2026</w:t>
            </w:r>
          </w:p>
        </w:tc>
      </w:tr>
      <w:tr>
        <w:tc>
          <w:tcPr>
            <w:tcW w:type="dxa" w:w="4844"/>
          </w:tcPr>
          <w:p>
            <w:r>
              <w:rPr>
                <w:b/>
              </w:rPr>
              <w:t>Autor Técnico</w:t>
            </w:r>
          </w:p>
        </w:tc>
        <w:tc>
          <w:tcPr>
            <w:tcW w:type="dxa" w:w="4844"/>
          </w:tcPr>
          <w:p>
            <w:r>
              <w:t>ALLAN MARCIO — Consultor Tributário Sênior</w:t>
            </w:r>
          </w:p>
        </w:tc>
      </w:tr>
      <w:tr>
        <w:tc>
          <w:tcPr>
            <w:tcW w:type="dxa" w:w="4844"/>
          </w:tcPr>
          <w:p>
            <w:r>
              <w:rPr>
                <w:b/>
              </w:rPr>
              <w:t>Base Normativa</w:t>
            </w:r>
          </w:p>
        </w:tc>
        <w:tc>
          <w:tcPr>
            <w:tcW w:type="dxa" w:w="4844"/>
          </w:tcPr>
          <w:p>
            <w:r>
              <w:t>LC 214/2025; Decreto nº 12.955/2026; EC 132/2023</w:t>
            </w:r>
          </w:p>
        </w:tc>
      </w:tr>
    </w:tbl>
    <w:p>
      <w:r>
        <w:br w:type="page"/>
      </w:r>
    </w:p>
    <w:p>
      <w:pPr>
        <w:spacing w:before="360" w:after="160"/>
      </w:pPr>
      <w:r>
        <w:rPr>
          <w:b/>
          <w:color w:val="0B3D91"/>
          <w:sz w:val="40"/>
        </w:rPr>
        <w:t>1. Importação — Hipótese de Incidência</w:t>
      </w:r>
    </w:p>
    <w:p>
      <w:pPr>
        <w:jc w:val="both"/>
      </w:pPr>
      <w:r>
        <w:rPr>
          <w:b w:val="0"/>
          <w:i w:val="0"/>
        </w:rPr>
        <w:t>A CBS incide sobre a importação de bens materiais (art. 75 — entrada de bem de procedência estrangeira no território nacional) e sobre a importação de bens imateriais e serviços (art. 66 — fornecimento por residente/domiciliado no exterior cujo consumo ocorra no País).</w:t>
      </w:r>
    </w:p>
    <w:p>
      <w:pPr>
        <w:jc w:val="both"/>
      </w:pPr>
      <w:r>
        <w:rPr>
          <w:b w:val="0"/>
          <w:i w:val="0"/>
        </w:rPr>
        <w:t>Para serviços, presume-se consumo no País quando: (i) local da operação é no País nos termos do art. 12, II a IX; ou (ii) adquirente/destinatário tem residência ou domicílio no País.</w:t>
      </w:r>
    </w:p>
    <w:p>
      <w:pPr>
        <w:spacing w:before="360" w:after="160"/>
      </w:pPr>
      <w:r>
        <w:rPr>
          <w:b/>
          <w:color w:val="0B3D91"/>
          <w:sz w:val="40"/>
        </w:rPr>
        <w:t>2. Importação de Serviços e Bens Imateriais (art. 66 a 74)</w:t>
      </w:r>
    </w:p>
    <w:p>
      <w:pPr>
        <w:pStyle w:val="ListBullet"/>
      </w:pPr>
      <w:r>
        <w:t>Fato gerador: momento do fornecimento (art. 11);</w:t>
      </w:r>
    </w:p>
    <w:p>
      <w:pPr>
        <w:pStyle w:val="ListBullet"/>
      </w:pPr>
      <w:r>
        <w:t>Base de cálculo: valor da operação (art. 13);</w:t>
      </w:r>
    </w:p>
    <w:p>
      <w:pPr>
        <w:pStyle w:val="ListBullet"/>
      </w:pPr>
      <w:r>
        <w:t>Alíquota: igual à interna (art. 470);</w:t>
      </w:r>
    </w:p>
    <w:p>
      <w:pPr>
        <w:pStyle w:val="ListBullet"/>
      </w:pPr>
      <w:r>
        <w:t>Contribuinte: adquirente, ainda que não inscrito (art. 69, V);</w:t>
      </w:r>
    </w:p>
    <w:p>
      <w:pPr>
        <w:pStyle w:val="ListBullet"/>
      </w:pPr>
      <w:r>
        <w:t>Responsável solidário: fornecedor estrangeiro (art. 71); plataforma digital (art. 72);</w:t>
      </w:r>
    </w:p>
    <w:p>
      <w:pPr>
        <w:pStyle w:val="ListBullet"/>
      </w:pPr>
      <w:r>
        <w:t>Quando consumo concomitante no Brasil e exterior: tributada apenas a parcela consumida no País (art. 67);</w:t>
      </w:r>
    </w:p>
    <w:p>
      <w:pPr>
        <w:pStyle w:val="ListBullet"/>
      </w:pPr>
      <w:r>
        <w:t>Documento fiscal: poderá ser exigido por ato conjunto, com identificação do contrato de câmbio ou fatura.</w:t>
      </w:r>
    </w:p>
    <w:p>
      <w:pPr>
        <w:spacing w:before="360" w:after="160"/>
      </w:pPr>
      <w:r>
        <w:rPr>
          <w:b/>
          <w:color w:val="0B3D91"/>
          <w:sz w:val="40"/>
        </w:rPr>
        <w:t>3. Importação de Bens Materiais (art. 75 a 89)</w:t>
      </w:r>
    </w:p>
    <w:p>
      <w:pPr>
        <w:jc w:val="both"/>
      </w:pPr>
      <w:r>
        <w:rPr>
          <w:b w:val="0"/>
          <w:i w:val="0"/>
        </w:rPr>
        <w:t>Fato gerador apurado em diferentes momentos (art. 78):</w:t>
      </w:r>
    </w:p>
    <w:p>
      <w:pPr>
        <w:pStyle w:val="ListBullet"/>
      </w:pPr>
      <w:r>
        <w:t>Liberação no despacho para consumo;</w:t>
      </w:r>
    </w:p>
    <w:p>
      <w:pPr>
        <w:pStyle w:val="ListBullet"/>
      </w:pPr>
      <w:r>
        <w:t>Liberação no regime especial de admissão temporária para utilização econômica;</w:t>
      </w:r>
    </w:p>
    <w:p>
      <w:pPr>
        <w:pStyle w:val="ListBullet"/>
      </w:pPr>
      <w:r>
        <w:t>Lançamento do crédito tributário em casos de bagagem, extravio ou bens sem declaração;</w:t>
      </w:r>
    </w:p>
    <w:p>
      <w:pPr>
        <w:jc w:val="both"/>
      </w:pPr>
      <w:r>
        <w:rPr>
          <w:b w:val="0"/>
          <w:i w:val="0"/>
        </w:rPr>
        <w:t>Local da importação (art. 79): local da entrega ao destinatário final, domicílio principal do adquirente em mercadoria entrepostada, ou local do extravio.</w:t>
      </w:r>
    </w:p>
    <w:p>
      <w:pPr>
        <w:jc w:val="both"/>
      </w:pPr>
      <w:r>
        <w:rPr>
          <w:b w:val="0"/>
          <w:i w:val="0"/>
        </w:rPr>
        <w:t>Base de cálculo (art. 80): valor aduaneiro acrescido de II, IS, taxa Siscomex, AFRMM, Cide-Combustíveis, direitos antidumping, compensatórios, salvaguardas, TSA-Suframa, TFVS, TUSM, TFFA e demais. Excluem-se IPI, ICMS e ISS.</w:t>
      </w:r>
    </w:p>
    <w:p>
      <w:pPr>
        <w:jc w:val="both"/>
      </w:pPr>
      <w:r>
        <w:rPr>
          <w:b w:val="0"/>
          <w:i w:val="0"/>
        </w:rPr>
        <w:t>Alíquota: a mesma da operação interna (art. 469). Em remessas internacionais (RTS), aplica-se a alíquota-padrão do destino. Para medicamentos importados por PF para uso próprio, aplicam-se os regimes diferenciados.</w:t>
      </w:r>
    </w:p>
    <w:p>
      <w:pPr>
        <w:jc w:val="both"/>
      </w:pPr>
      <w:r>
        <w:rPr>
          <w:b w:val="0"/>
          <w:i w:val="0"/>
        </w:rPr>
        <w:t>Pagamento: até a entrega dos bens (art. 87). Pode ser antecipado para o registro da DI (art. 87, §1º). Habilitados no Programa OEA podem ter pagamento posterior.</w:t>
      </w:r>
    </w:p>
    <w:p>
      <w:pPr>
        <w:spacing w:before="360" w:after="160"/>
      </w:pPr>
      <w:r>
        <w:rPr>
          <w:b/>
          <w:color w:val="0B3D91"/>
          <w:sz w:val="40"/>
        </w:rPr>
        <w:t>4. Não Constituem Fato Gerador (art. 76)</w:t>
      </w:r>
    </w:p>
    <w:p>
      <w:pPr>
        <w:pStyle w:val="ListBullet"/>
      </w:pPr>
      <w:r>
        <w:t>Bens que retornam ao País (consignação não vendida, defeito, modificações, força maior);</w:t>
      </w:r>
    </w:p>
    <w:p>
      <w:pPr>
        <w:pStyle w:val="ListBullet"/>
      </w:pPr>
      <w:r>
        <w:t>Bens em trânsito por erro de expedição;</w:t>
      </w:r>
    </w:p>
    <w:p>
      <w:pPr>
        <w:pStyle w:val="ListBullet"/>
      </w:pPr>
      <w:r>
        <w:t>Bens substituidores idênticos para reposição de defeituosos;</w:t>
      </w:r>
    </w:p>
    <w:p>
      <w:pPr>
        <w:pStyle w:val="ListBullet"/>
      </w:pPr>
      <w:r>
        <w:t>Bens objeto de pena de perdimento antes da liberação;</w:t>
      </w:r>
    </w:p>
    <w:p>
      <w:pPr>
        <w:pStyle w:val="ListBullet"/>
      </w:pPr>
      <w:r>
        <w:t>Bens devolvidos antes do registro da DI;</w:t>
      </w:r>
    </w:p>
    <w:p>
      <w:pPr>
        <w:pStyle w:val="ListBullet"/>
      </w:pPr>
      <w:r>
        <w:t>Pescado capturado em águas internacionais;</w:t>
      </w:r>
    </w:p>
    <w:p>
      <w:pPr>
        <w:pStyle w:val="ListBullet"/>
      </w:pPr>
      <w:r>
        <w:t>Bens em exportação temporária retornando;</w:t>
      </w:r>
    </w:p>
    <w:p>
      <w:pPr>
        <w:pStyle w:val="ListBullet"/>
      </w:pPr>
      <w:r>
        <w:t>Bens em trânsito acidentalmente destruídos;</w:t>
      </w:r>
    </w:p>
    <w:p>
      <w:pPr>
        <w:pStyle w:val="ListBullet"/>
      </w:pPr>
      <w:r>
        <w:t>Bens destruídos sob controle aduaneiro antes da liberação.</w:t>
      </w:r>
    </w:p>
    <w:p>
      <w:pPr>
        <w:spacing w:before="360" w:after="160"/>
      </w:pPr>
      <w:r>
        <w:rPr>
          <w:b/>
          <w:color w:val="0B3D91"/>
          <w:sz w:val="40"/>
        </w:rPr>
        <w:t>5. Remessas Internacionais (art. 171 a 178)</w:t>
      </w:r>
    </w:p>
    <w:p>
      <w:pPr>
        <w:jc w:val="both"/>
      </w:pPr>
      <w:r>
        <w:rPr>
          <w:b w:val="0"/>
          <w:i w:val="0"/>
        </w:rPr>
        <w:t>Bagagem de viajantes/tripulantes: isenção total. Remessas internacionais isentas do II e entre PFs sem plataforma digital: isenção (art. 171). Demais remessas: tributadas, com responsabilidade da plataforma digital ou do remetente.</w:t>
      </w:r>
    </w:p>
    <w:p>
      <w:pPr>
        <w:spacing w:before="360" w:after="160"/>
      </w:pPr>
      <w:r>
        <w:rPr>
          <w:b/>
          <w:color w:val="0B3D91"/>
          <w:sz w:val="40"/>
        </w:rPr>
        <w:t>6. Exportação — Imunidade (art. 9º, 90 e seguintes)</w:t>
      </w:r>
    </w:p>
    <w:p>
      <w:pPr>
        <w:jc w:val="both"/>
      </w:pPr>
      <w:r>
        <w:rPr>
          <w:b w:val="0"/>
          <w:i w:val="0"/>
        </w:rPr>
        <w:t>Exportações são imunes à CBS, com manutenção dos créditos. A exportação de serviços/bens imateriais exige fornecimento a residente/domiciliado no exterior e consumo no exterior. Quando consumo concomitante no Brasil e exterior, apenas a parcela consumida no exterior é considerada exportação.</w:t>
      </w:r>
    </w:p>
    <w:p>
      <w:pPr>
        <w:spacing w:before="360" w:after="160"/>
      </w:pPr>
      <w:r>
        <w:rPr>
          <w:b/>
          <w:color w:val="0B3D91"/>
          <w:sz w:val="40"/>
        </w:rPr>
        <w:t>7. Serviços Conexos à Exportação de Bens Materiais (art. 92, §2º, II)</w:t>
      </w:r>
    </w:p>
    <w:p>
      <w:pPr>
        <w:jc w:val="both"/>
      </w:pPr>
      <w:r>
        <w:rPr>
          <w:b w:val="0"/>
          <w:i w:val="0"/>
        </w:rPr>
        <w:t>Considera-se também exportação o fornecimento dos seguintes serviços vinculados direta e exclusivamente à exportação de bens materiais ou à entrega no exterior:</w:t>
      </w:r>
    </w:p>
    <w:p>
      <w:pPr>
        <w:pStyle w:val="ListBullet"/>
      </w:pPr>
      <w:r>
        <w:t>Intermediação na distribuição (comissão de agente);</w:t>
      </w:r>
    </w:p>
    <w:p>
      <w:pPr>
        <w:pStyle w:val="ListBullet"/>
      </w:pPr>
      <w:r>
        <w:t>Seguro de cargas;</w:t>
      </w:r>
    </w:p>
    <w:p>
      <w:pPr>
        <w:pStyle w:val="ListBullet"/>
      </w:pPr>
      <w:r>
        <w:t>Despacho aduaneiro;</w:t>
      </w:r>
    </w:p>
    <w:p>
      <w:pPr>
        <w:pStyle w:val="ListBullet"/>
      </w:pPr>
      <w:r>
        <w:t>Armazenagem;</w:t>
      </w:r>
    </w:p>
    <w:p>
      <w:pPr>
        <w:pStyle w:val="ListBullet"/>
      </w:pPr>
      <w:r>
        <w:t>Transporte rodoviário/ferroviário/aéreo/aquaviário/multimodal de cargas;</w:t>
      </w:r>
    </w:p>
    <w:p>
      <w:pPr>
        <w:pStyle w:val="ListBullet"/>
      </w:pPr>
      <w:r>
        <w:t>Manuseio, unitização, consolidação documental;</w:t>
      </w:r>
    </w:p>
    <w:p>
      <w:pPr>
        <w:pStyle w:val="ListBullet"/>
      </w:pPr>
      <w:r>
        <w:t>Agenciamento de transporte;</w:t>
      </w:r>
    </w:p>
    <w:p>
      <w:pPr>
        <w:pStyle w:val="ListBullet"/>
      </w:pPr>
      <w:r>
        <w:t>Remessas expressas;</w:t>
      </w:r>
    </w:p>
    <w:p>
      <w:pPr>
        <w:pStyle w:val="ListBullet"/>
      </w:pPr>
      <w:r>
        <w:t>Pesagem, medição e refrigeração;</w:t>
      </w:r>
    </w:p>
    <w:p>
      <w:pPr>
        <w:pStyle w:val="ListBullet"/>
      </w:pPr>
      <w:r>
        <w:t>Arrendamento mercantil operacional ou locação de contêineres;</w:t>
      </w:r>
    </w:p>
    <w:p>
      <w:pPr>
        <w:pStyle w:val="ListBullet"/>
      </w:pPr>
      <w:r>
        <w:t>Instalação e montagem de mercadorias exportadas;</w:t>
      </w:r>
    </w:p>
    <w:p>
      <w:pPr>
        <w:pStyle w:val="ListBullet"/>
      </w:pPr>
      <w:r>
        <w:t>Treinamento para uso de mercadorias exportadas.</w:t>
      </w:r>
    </w:p>
    <w:p>
      <w:pPr>
        <w:jc w:val="both"/>
      </w:pPr>
      <w:r>
        <w:rPr>
          <w:b w:val="0"/>
          <w:i w:val="0"/>
        </w:rPr>
        <w:t>O documento fiscal deve referenciar o documento da exportação principal.</w:t>
      </w:r>
    </w:p>
    <w:p>
      <w:pPr>
        <w:spacing w:before="360" w:after="160"/>
      </w:pPr>
      <w:r>
        <w:rPr>
          <w:b/>
          <w:color w:val="0B3D91"/>
          <w:sz w:val="40"/>
        </w:rPr>
        <w:t>8. Exportação Sem Saída do Território (art. 95)</w:t>
      </w:r>
    </w:p>
    <w:p>
      <w:pPr>
        <w:jc w:val="both"/>
      </w:pPr>
      <w:r>
        <w:rPr>
          <w:b w:val="0"/>
          <w:i w:val="0"/>
        </w:rPr>
        <w:t>Aplica-se a imunidade quando os bens forem totalmente incorporados a bem temporariamente no País de propriedade do comprador estrangeiro; entregues a órgãos públicos em licitação internacional; entregues ao Ministério da Defesa em acordo internacional; entregues a empresas autorizadas a operar regime de loja franca; aeronaves vendidas para empresa estrangeira e entregues a fornecedor brasileiro de transporte aéreo; embarcações ou plataformas em construção contratadas por empresa estrangeira para exploração de petróleo/gás; e bens destinados às atividades de exploração/produção de hidrocarbonetos.</w:t>
      </w:r>
    </w:p>
    <w:p>
      <w:pPr>
        <w:spacing w:before="360" w:after="160"/>
      </w:pPr>
      <w:r>
        <w:rPr>
          <w:b/>
          <w:color w:val="0B3D91"/>
          <w:sz w:val="40"/>
        </w:rPr>
        <w:t>9. Suspensão para Empresa Comercial Exportadora (art. 97)</w:t>
      </w:r>
    </w:p>
    <w:p>
      <w:pPr>
        <w:jc w:val="both"/>
      </w:pPr>
      <w:r>
        <w:rPr>
          <w:b w:val="0"/>
          <w:i w:val="0"/>
        </w:rPr>
        <w:t>Suspensão da CBS no fornecimento à empresa comercial exportadora certificada no Programa OEA, com PL ≥ R$ 1 milhão ou equivalente à CBS+IBS suspensos, DTE regular, escrituração contábil em meio digital e regularidade fiscal. A suspensão converte-se em alíquota zero após exportação efetiva. Caso não exportadas em 180 dias, redestinadas, industrializadas ou destruídas: a empresa comercial exportadora responde pelo recolhimento.</w:t>
      </w:r>
    </w:p>
    <w:p>
      <w:pPr>
        <w:spacing w:before="360" w:after="160"/>
      </w:pPr>
      <w:r>
        <w:rPr>
          <w:b/>
          <w:color w:val="0B3D91"/>
          <w:sz w:val="40"/>
        </w:rPr>
        <w:t>10. Suspensão na Aquisição de Produtos Agropecuários in natura para Industrialização-Exportação (art. 99)</w:t>
      </w:r>
    </w:p>
    <w:p>
      <w:pPr>
        <w:jc w:val="both"/>
      </w:pPr>
      <w:r>
        <w:rPr>
          <w:b w:val="0"/>
          <w:i w:val="0"/>
        </w:rPr>
        <w:t>Aplicável à aquisição de produtos agropecuários in natura por contribuinte regular que promova industrialização para exportação, com receita de exportação superior a 50% nos últimos 3 anos-calendário.</w:t>
      </w:r>
    </w:p>
    <w:p>
      <w:pPr>
        <w:spacing w:before="360" w:after="160"/>
      </w:pPr>
      <w:r>
        <w:rPr>
          <w:b/>
          <w:color w:val="0B3D91"/>
          <w:sz w:val="40"/>
        </w:rPr>
        <w:t>11. Comprovação da Exportação (art. 96)</w:t>
      </w:r>
    </w:p>
    <w:p>
      <w:pPr>
        <w:jc w:val="both"/>
      </w:pPr>
      <w:r>
        <w:rPr>
          <w:b w:val="0"/>
          <w:i w:val="0"/>
        </w:rPr>
        <w:t>Registro no documento fiscal de exportação processada no Siscomex. Prazo de 180 dias da emissão do documento fiscal, prorrogável por igual período em situações de força maior. Não comprovação implica exigência da CBS com acréscimos legais.</w:t>
      </w:r>
    </w:p>
    <w:p>
      <w:pPr>
        <w:spacing w:before="360" w:after="160"/>
      </w:pPr>
      <w:r>
        <w:rPr>
          <w:b/>
          <w:color w:val="0B3D91"/>
          <w:sz w:val="40"/>
        </w:rPr>
        <w:t>12. Impactos Operacionais</w:t>
      </w:r>
    </w:p>
    <w:tbl>
      <w:tblPr>
        <w:tblW w:type="auto" w:w="0"/>
        <w:tblLook w:firstColumn="1" w:firstRow="1" w:lastColumn="0" w:lastRow="0" w:noHBand="0" w:noVBand="1" w:val="04A0"/>
      </w:tblPr>
      <w:tblGrid>
        <w:gridCol w:w="9689"/>
      </w:tblGrid>
      <w:tr>
        <w:tc>
          <w:tcPr>
            <w:tcW w:type="dxa" w:w="9689"/>
            <w:shd w:val="clear" w:color="auto" w:fill="FFF2CC"/>
          </w:tcPr>
          <w:p>
            <w:r/>
            <w:r>
              <w:rPr>
                <w:b/>
                <w:sz w:val="20"/>
              </w:rPr>
              <w:t>⚠ ATENÇÃO</w:t>
            </w:r>
          </w:p>
          <w:p>
            <w:r>
              <w:rPr>
                <w:sz w:val="22"/>
              </w:rPr>
              <w:t>Empresas exportadoras devem reorganizar sua documentação fiscal e logística para garantir o vínculo entre os documentos da exportação principal e os serviços conexos. A integração com plataforma RFB/CGIBS no controle das suspensões e habilitações é fundamental.</w:t>
            </w:r>
          </w:p>
        </w:tc>
      </w:tr>
    </w:tbl>
    <w:p/>
    <w:p/>
    <w:p>
      <w:pPr>
        <w:jc w:val="center"/>
      </w:pPr>
      <w:r>
        <w:t>──────────────────────────────────────────────────</w:t>
      </w:r>
    </w:p>
    <w:p>
      <w:pPr>
        <w:jc w:val="center"/>
      </w:pPr>
      <w:r>
        <w:rPr>
          <w:i/>
          <w:color w:val="595959"/>
          <w:sz w:val="18"/>
        </w:rPr>
        <w:t>Documento técnico elaborado com base no Decreto nº 12.955, de 29/04/2026.</w:t>
        <w:br/>
      </w:r>
      <w:r>
        <w:rPr>
          <w:i/>
          <w:color w:val="595959"/>
          <w:sz w:val="18"/>
        </w:rPr>
        <w:t>Sujeito a ajustes em razão de atos normativos complementares (RFB/CGIBS) ainda pendentes de publicação.</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