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br/>
        <w:br/>
        <w:t>REFORMA TRIBUTÁRIA — CBS</w:t>
      </w:r>
    </w:p>
    <w:p>
      <w:pPr>
        <w:jc w:val="center"/>
      </w:pPr>
      <w:r>
        <w:rPr>
          <w:i/>
          <w:color w:val="595959"/>
          <w:sz w:val="26"/>
        </w:rPr>
        <w:t>Decreto nº 12.955, de 29 de abril de 2026</w:t>
      </w:r>
    </w:p>
    <w:p>
      <w:pPr>
        <w:jc w:val="center"/>
      </w:pPr>
      <w:r>
        <w:rPr>
          <w:b/>
          <w:color w:val="0B3D91"/>
          <w:sz w:val="56"/>
        </w:rPr>
        <w:br/>
        <w:br/>
        <w:t>Regimes Aduaneiros Especiais e REPETRO</w:t>
        <w:br/>
      </w:r>
    </w:p>
    <w:p>
      <w:pPr>
        <w:jc w:val="center"/>
      </w:pPr>
      <w:r>
        <w:rPr>
          <w:color w:val="1F4E79"/>
          <w:sz w:val="28"/>
        </w:rPr>
        <w:t>Capítulo I do Título III do Livro I (art. 152 a 184)</w:t>
      </w:r>
    </w:p>
    <w:p/>
    <w:p/>
    <w:p/>
    <w:p/>
    <w:p/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Código do Documento</w:t>
            </w:r>
          </w:p>
        </w:tc>
        <w:tc>
          <w:tcPr>
            <w:tcW w:type="dxa" w:w="4844"/>
          </w:tcPr>
          <w:p>
            <w:r>
              <w:t>TEMA-07-Regimes-Aduaneiros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Data de Elaboração</w:t>
            </w:r>
          </w:p>
        </w:tc>
        <w:tc>
          <w:tcPr>
            <w:tcW w:type="dxa" w:w="4844"/>
          </w:tcPr>
          <w:p>
            <w:r>
              <w:t>30/04/2026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Autor Técnico</w:t>
            </w:r>
          </w:p>
        </w:tc>
        <w:tc>
          <w:tcPr>
            <w:tcW w:type="dxa" w:w="4844"/>
          </w:tcPr>
          <w:p>
            <w:r>
              <w:t>ALLAN MARCIO — Consultor Tributário Sênior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Base Normativa</w:t>
            </w:r>
          </w:p>
        </w:tc>
        <w:tc>
          <w:tcPr>
            <w:tcW w:type="dxa" w:w="4844"/>
          </w:tcPr>
          <w:p>
            <w:r>
              <w:t>LC 214/2025; Decreto nº 12.955/2026; EC 132/2023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b/>
          <w:color w:val="0B3D91"/>
          <w:sz w:val="40"/>
        </w:rPr>
        <w:t>1. Visão Geral</w:t>
      </w:r>
    </w:p>
    <w:p>
      <w:pPr>
        <w:jc w:val="both"/>
      </w:pPr>
      <w:r>
        <w:rPr>
          <w:b w:val="0"/>
          <w:i w:val="0"/>
        </w:rPr>
        <w:t>Os regimes aduaneiros especiais permitem suspensão da CBS nas operações de comércio exterior. O decreto recepciona os regimes existentes na legislação aduaneira (art. 152 a 178), adicionando especificidades para a CBS.</w:t>
      </w:r>
    </w:p>
    <w:p>
      <w:pPr>
        <w:spacing w:before="360" w:after="160"/>
      </w:pPr>
      <w:r>
        <w:rPr>
          <w:b/>
          <w:color w:val="0B3D91"/>
          <w:sz w:val="40"/>
        </w:rPr>
        <w:t>2. Trânsito Aduaneiro (art. 152 e 153)</w:t>
      </w:r>
    </w:p>
    <w:p>
      <w:pPr>
        <w:jc w:val="both"/>
      </w:pPr>
      <w:r>
        <w:rPr>
          <w:b w:val="0"/>
          <w:i w:val="0"/>
        </w:rPr>
        <w:t>Suspensão durante a permanência do bem no regime, em qualquer modalidade. Bens com destino ao exterior podem ser submetidos sem prejuízo do tratamento de exportação.</w:t>
      </w:r>
    </w:p>
    <w:p>
      <w:pPr>
        <w:spacing w:before="360" w:after="160"/>
      </w:pPr>
      <w:r>
        <w:rPr>
          <w:b/>
          <w:color w:val="0B3D91"/>
          <w:sz w:val="40"/>
        </w:rPr>
        <w:t>3. Depósito (art. 154 a 158)</w:t>
      </w:r>
    </w:p>
    <w:p>
      <w:pPr>
        <w:pStyle w:val="ListBullet"/>
      </w:pPr>
      <w:r>
        <w:t>Entreposto aduaneiro na importação e exportação;</w:t>
      </w:r>
    </w:p>
    <w:p>
      <w:pPr>
        <w:pStyle w:val="ListBullet"/>
      </w:pPr>
      <w:r>
        <w:t>Depósito especial;</w:t>
      </w:r>
    </w:p>
    <w:p>
      <w:pPr>
        <w:pStyle w:val="ListBullet"/>
      </w:pPr>
      <w:r>
        <w:t>Depósito afiançado;</w:t>
      </w:r>
    </w:p>
    <w:p>
      <w:pPr>
        <w:pStyle w:val="ListBullet"/>
      </w:pPr>
      <w:r>
        <w:t>Depósito franco;</w:t>
      </w:r>
    </w:p>
    <w:p>
      <w:pPr>
        <w:pStyle w:val="ListBullet"/>
      </w:pPr>
      <w:r>
        <w:t>Loja franca (art. 158): atenção à distinção entre venda em zona alfandegada saída/entrada;</w:t>
      </w:r>
    </w:p>
    <w:p>
      <w:pPr>
        <w:pStyle w:val="ListBullet"/>
      </w:pPr>
      <w:r>
        <w:t>Entreposto internacional ZFM.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DDEBF7"/>
          </w:tcPr>
          <w:p>
            <w:r/>
            <w:r>
              <w:rPr>
                <w:b/>
                <w:sz w:val="20"/>
              </w:rPr>
              <w:t>ℹ INFORMAÇÃO TÉCNICA</w:t>
            </w:r>
          </w:p>
          <w:p>
            <w:r>
              <w:rPr>
                <w:sz w:val="22"/>
              </w:rPr>
              <w:t>Loja franca em zona primária: na saída do País, considera-se exportado; na entrada, exigência da CBS (com exceção do limite de bagagem). Em via terrestre, há tributação. Hipótese do art. 95, IV (operação de exportação) trata-se de imunidade.</w:t>
            </w:r>
          </w:p>
        </w:tc>
      </w:tr>
    </w:tbl>
    <w:p/>
    <w:p>
      <w:pPr>
        <w:spacing w:before="360" w:after="160"/>
      </w:pPr>
      <w:r>
        <w:rPr>
          <w:b/>
          <w:color w:val="0B3D91"/>
          <w:sz w:val="40"/>
        </w:rPr>
        <w:t>4. Permanência Temporária (art. 159 a 163)</w:t>
      </w:r>
    </w:p>
    <w:p>
      <w:pPr>
        <w:jc w:val="both"/>
      </w:pPr>
      <w:r>
        <w:rPr>
          <w:b w:val="0"/>
          <w:i w:val="0"/>
        </w:rPr>
        <w:t>Admissão temporária com suspensão integral. Para utilização econômica, suspensão parcial proporcional ao tempo de permanência (0,033% por dia sobre a CBS originalmente devida — art. 160). Exceções para Repetro-Temporário/GNL-Temporário até 31/12/2040 e ZFM até 2073, que mantêm suspensão total. No retorno ao País após exportação temporária para aperfeiçoamento, base sobre diferença ou sobre o valor dos bens/serviços empregados (art. 163).</w:t>
      </w:r>
    </w:p>
    <w:p>
      <w:pPr>
        <w:spacing w:before="360" w:after="160"/>
      </w:pPr>
      <w:r>
        <w:rPr>
          <w:b/>
          <w:color w:val="0B3D91"/>
          <w:sz w:val="40"/>
        </w:rPr>
        <w:t>5. Aperfeiçoamento (art. 161 a 163)</w:t>
      </w:r>
    </w:p>
    <w:p>
      <w:pPr>
        <w:pStyle w:val="ListBullet"/>
      </w:pPr>
      <w:r>
        <w:t>RECOF — entreposto industrial sob controle aduaneiro informatizado;</w:t>
      </w:r>
    </w:p>
    <w:p>
      <w:pPr>
        <w:pStyle w:val="ListBullet"/>
      </w:pPr>
      <w:r>
        <w:t>Drawback Suspensão (vedada Drawback Isenção e Restituição na CBS — art. 162);</w:t>
      </w:r>
    </w:p>
    <w:p>
      <w:pPr>
        <w:pStyle w:val="ListBullet"/>
      </w:pPr>
      <w:r>
        <w:t>Admissão temporária para aperfeiçoamento ativo;</w:t>
      </w:r>
    </w:p>
    <w:p>
      <w:pPr>
        <w:pStyle w:val="ListBullet"/>
      </w:pPr>
      <w:r>
        <w:t>Exportação temporária para aperfeiçoamento passivo.</w:t>
      </w:r>
    </w:p>
    <w:p>
      <w:pPr>
        <w:jc w:val="both"/>
      </w:pPr>
      <w:r>
        <w:rPr>
          <w:b w:val="0"/>
          <w:i w:val="0"/>
        </w:rPr>
        <w:t>Habilitação na RFB/CGIBS condicionada a regularidade fiscal, certidão conjunta, ausência de antecedentes específicos, autorização para operar no comércio exterior, DTE regular, sistema informatizado de controle, capacidade industrial demonstrada e histórico de exportação superior a 1 ano. Compromissos: exportação ≥ 50% dos bens importados; aplicação ≥ 70% dos insumos; manutenção dos sistemas; CBS+IBS suspensos ≤ 100% do PL.</w:t>
      </w:r>
    </w:p>
    <w:p>
      <w:pPr>
        <w:spacing w:before="360" w:after="160"/>
      </w:pPr>
      <w:r>
        <w:rPr>
          <w:b/>
          <w:color w:val="0B3D91"/>
          <w:sz w:val="40"/>
        </w:rPr>
        <w:t>6. REPETRO (art. 164)</w:t>
      </w:r>
    </w:p>
    <w:p>
      <w:pPr>
        <w:jc w:val="both"/>
      </w:pPr>
      <w:r>
        <w:rPr>
          <w:b w:val="0"/>
          <w:i w:val="0"/>
        </w:rPr>
        <w:t>Suspensão da CBS para operações com bens destinados às atividades de exploração, desenvolvimento e produção de petróleo, gás natural e hidrocarbonetos: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Modalidade</w:t>
            </w:r>
          </w:p>
        </w:tc>
        <w:tc>
          <w:tcPr>
            <w:tcW w:type="dxa" w:w="6236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Característica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Repetro-Temporário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Bens de permanência temporária no País (Anexo II - Tabela I)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GNL-Temporário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Bens para transporte/regaseificação de gás natural liquefeito (Anexo II - Tabela II)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Repetro-Permanente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Bens de permanência definitiva (Anexo II - Tabela III)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Repetro-Industrialização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Insumos para industrialização de produto destinado às atividades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Repetro-Nacional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Aquisição do produto final do Repetro-Industrialização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Repetro-Entreposto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Importação para conversão/construção de outros bens (Anexo II - Tabela IV)</w:t>
            </w:r>
          </w:p>
        </w:tc>
      </w:tr>
    </w:tbl>
    <w:p/>
    <w:p>
      <w:pPr>
        <w:jc w:val="both"/>
      </w:pPr>
      <w:r>
        <w:rPr>
          <w:b w:val="0"/>
          <w:i w:val="0"/>
        </w:rPr>
        <w:t>Suspensão converte-se em alíquota zero após 5 anos da DI (Repetro-Permanente) ou após efetivo destino. Encerramento: 31/12/2040.</w:t>
      </w:r>
    </w:p>
    <w:p>
      <w:pPr>
        <w:spacing w:before="360" w:after="160"/>
      </w:pPr>
      <w:r>
        <w:rPr>
          <w:b/>
          <w:color w:val="0B3D91"/>
          <w:sz w:val="40"/>
        </w:rPr>
        <w:t>7. ZPE — Zonas de Processamento de Exportação (art. 179 a 184)</w:t>
      </w:r>
    </w:p>
    <w:p>
      <w:pPr>
        <w:jc w:val="both"/>
      </w:pPr>
      <w:r>
        <w:rPr>
          <w:b w:val="0"/>
          <w:i w:val="0"/>
        </w:rPr>
        <w:t>Suspensão na importação/aquisição de máquinas, equipamentos, peças, bens, matérias-primas, produtos intermediários e materiais de embalagem. Conversão em alíquota zero após 2 anos para ativo imobilizado e na exportação para insumos. Estende-se ao serviço de transporte de/para a ZPE (art. 183) com alíquota zero. Energia elétrica de fontes renováveis equipara-se a matéria-prima.</w:t>
      </w:r>
    </w:p>
    <w:p>
      <w:pPr>
        <w:spacing w:before="360" w:after="160"/>
      </w:pPr>
      <w:r>
        <w:rPr>
          <w:b/>
          <w:color w:val="0B3D91"/>
          <w:sz w:val="40"/>
        </w:rPr>
        <w:t>8. Bagagem e Remessas Internacionais</w:t>
      </w:r>
    </w:p>
    <w:p>
      <w:pPr>
        <w:pStyle w:val="ListBullet"/>
      </w:pPr>
      <w:r>
        <w:t>Bagagem de viajantes e tripulantes: isenção (art. 171, I);</w:t>
      </w:r>
    </w:p>
    <w:p>
      <w:pPr>
        <w:pStyle w:val="ListBullet"/>
      </w:pPr>
      <w:r>
        <w:t>Remessas internacionais entre PFs, sem plataforma digital, isentas do II: isenção (art. 171, II);</w:t>
      </w:r>
    </w:p>
    <w:p>
      <w:pPr>
        <w:pStyle w:val="ListBullet"/>
      </w:pPr>
      <w:r>
        <w:t>Demais remessas (RTS): tributação, com responsabilidade da plataforma digital ou empresa de courier;</w:t>
      </w:r>
    </w:p>
    <w:p>
      <w:pPr>
        <w:pStyle w:val="ListBullet"/>
      </w:pPr>
      <w:r>
        <w:t>Limite de devolução para cancelamento da compra antes da entrega disciplinado em ato conjunto.</w:t>
      </w:r>
    </w:p>
    <w:p>
      <w:pPr>
        <w:spacing w:before="360" w:after="160"/>
      </w:pPr>
      <w:r>
        <w:rPr>
          <w:b/>
          <w:color w:val="0B3D91"/>
          <w:sz w:val="40"/>
        </w:rPr>
        <w:t>9. Bens de Capital</w:t>
      </w:r>
    </w:p>
    <w:p>
      <w:pPr>
        <w:pStyle w:val="ListBullet"/>
      </w:pPr>
      <w:r>
        <w:t>Crédito integral e imediato (art. 195);</w:t>
      </w:r>
    </w:p>
    <w:p>
      <w:pPr>
        <w:pStyle w:val="ListBullet"/>
      </w:pPr>
      <w:r>
        <w:t>Suspensão do pagamento para os bens listados na Tabela I do Anexo IV (art. 196);</w:t>
      </w:r>
    </w:p>
    <w:p>
      <w:pPr>
        <w:pStyle w:val="ListBullet"/>
      </w:pPr>
      <w:r>
        <w:t>Alíquota zero para tratores/máquinas agrícolas adquiridos por produtor rural não contribuinte (Tabela II — art. 197, I);</w:t>
      </w:r>
    </w:p>
    <w:p>
      <w:pPr>
        <w:pStyle w:val="ListBullet"/>
      </w:pPr>
      <w:r>
        <w:t>Alíquota zero para veículos de transporte de carga adquiridos por TAC pessoa física não contribuinte (Tabela III — art. 197, II).</w:t>
      </w:r>
    </w:p>
    <w:p>
      <w:pPr>
        <w:spacing w:before="360" w:after="160"/>
      </w:pPr>
      <w:r>
        <w:rPr>
          <w:b/>
          <w:color w:val="0B3D91"/>
          <w:sz w:val="40"/>
        </w:rPr>
        <w:t>10. REPORTO (art. 186 e Anexo III)</w:t>
      </w:r>
    </w:p>
    <w:p>
      <w:pPr>
        <w:jc w:val="both"/>
      </w:pPr>
      <w:r>
        <w:rPr>
          <w:b w:val="0"/>
          <w:i w:val="0"/>
        </w:rPr>
        <w:t>Suspensão para máquinas, equipamentos, peças e demais bens utilizados em portos, hidrovias, ferrovias e dragagens. Conversão em alíquota zero após 5 anos. Vigência: até 31/12/2028. Beneficiários: operadores portuários, ferrovias, dragagens, recintos alfandegados, treinamento profissional. Lista de bens no Anexo III.</w:t>
      </w:r>
    </w:p>
    <w:p>
      <w:pPr>
        <w:spacing w:before="360" w:after="160"/>
      </w:pPr>
      <w:r>
        <w:rPr>
          <w:b/>
          <w:color w:val="0B3D91"/>
          <w:sz w:val="40"/>
        </w:rPr>
        <w:t>11. Reidi, Renaval e Rehidro</w:t>
      </w:r>
    </w:p>
    <w:p>
      <w:pPr>
        <w:jc w:val="both"/>
      </w:pPr>
      <w:r>
        <w:rPr>
          <w:b w:val="0"/>
          <w:i w:val="0"/>
        </w:rPr>
        <w:t>Reidi (art. 187): infraestrutura — suspensão na aquisição/importação de máquinas, materiais de construção e serviços, com conversão em alíquota zero após incorporação. Período de fruição: 5 anos da habilitação. Renaval (art. 189): atividade naval — suspensão na construção/reparo de embarcações. Rehidro (art. 188): hidrogênio de baixa emissão de carbono — extensão do Reidi.</w:t>
      </w:r>
    </w:p>
    <w:p>
      <w:pPr>
        <w:spacing w:before="360" w:after="160"/>
      </w:pPr>
      <w:r>
        <w:rPr>
          <w:b/>
          <w:color w:val="0B3D91"/>
          <w:sz w:val="40"/>
        </w:rPr>
        <w:t>12. Impactos Operacionais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F2CC"/>
          </w:tcPr>
          <w:p>
            <w:r/>
            <w:r>
              <w:rPr>
                <w:b/>
                <w:sz w:val="20"/>
              </w:rPr>
              <w:t>⚠ ATENÇÃO</w:t>
            </w:r>
          </w:p>
          <w:p>
            <w:r>
              <w:rPr>
                <w:sz w:val="22"/>
              </w:rPr>
              <w:t>Empresas com regimes aduaneiros vigentes devem revisitar as habilitações e ajustar processos para a nova sistemática RFB/CGIBS. Compromissos do drawback suspensão exigem indicadores robustos, com PL e exportação anual monitorados.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595959"/>
          <w:sz w:val="18"/>
        </w:rPr>
        <w:t>Documento técnico elaborado com base no Decreto nº 12.955, de 29/04/2026.</w:t>
        <w:br/>
      </w:r>
      <w:r>
        <w:rPr>
          <w:i/>
          <w:color w:val="595959"/>
          <w:sz w:val="18"/>
        </w:rPr>
        <w:t>Sujeito a ajustes em razão de atos normativos complementares (RFB/CGIBS) ainda pendentes de publicação.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