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Cesta Básica Nacional e Regimes Diferenciados</w:t>
        <w:br/>
      </w:r>
    </w:p>
    <w:p>
      <w:pPr>
        <w:jc w:val="center"/>
      </w:pPr>
      <w:r>
        <w:rPr>
          <w:color w:val="1F4E79"/>
          <w:sz w:val="28"/>
        </w:rPr>
        <w:t>Títulos IV e V do Livro I (art. 199 a 258)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TEMA-08-Cesta-Basica-Regimes-Diferenciados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Cesta Básica Nacional (art. 199)</w:t>
      </w:r>
    </w:p>
    <w:p>
      <w:pPr>
        <w:jc w:val="both"/>
      </w:pPr>
      <w:r>
        <w:rPr>
          <w:b w:val="0"/>
          <w:i w:val="0"/>
        </w:rPr>
        <w:t>Alíquota zero da CBS para os produtos relacionados no Anexo I da LC 214/2025, por NCM/SH. A redução aplica-se também à importação. Alteração depende do cumprimento do art. 156-A, §§ 9º e 11 da CF. Quando comercializados em conjunto com outros produtos, exige-se especificação do valor de cada item beneficiado para preservar a redução.</w:t>
      </w:r>
    </w:p>
    <w:p>
      <w:pPr>
        <w:spacing w:before="360" w:after="160"/>
      </w:pPr>
      <w:r>
        <w:rPr>
          <w:b/>
          <w:color w:val="0B3D91"/>
          <w:sz w:val="40"/>
        </w:rPr>
        <w:t>2. Redução de 30% — Profissionais Regulamentados (art. 202)</w:t>
      </w:r>
    </w:p>
    <w:p>
      <w:pPr>
        <w:pStyle w:val="ListBullet"/>
      </w:pPr>
      <w:r>
        <w:t>Administradores; advogados; arquitetos e urbanistas;</w:t>
      </w:r>
    </w:p>
    <w:p>
      <w:pPr>
        <w:pStyle w:val="ListBullet"/>
      </w:pPr>
      <w:r>
        <w:t>Assistentes sociais; bibliotecários; biólogos;</w:t>
      </w:r>
    </w:p>
    <w:p>
      <w:pPr>
        <w:pStyle w:val="ListBullet"/>
      </w:pPr>
      <w:r>
        <w:t>Contabilistas; economistas; economistas domésticos;</w:t>
      </w:r>
    </w:p>
    <w:p>
      <w:pPr>
        <w:pStyle w:val="ListBullet"/>
      </w:pPr>
      <w:r>
        <w:t>Profissionais de educação física; engenheiros e agrônomos;</w:t>
      </w:r>
    </w:p>
    <w:p>
      <w:pPr>
        <w:pStyle w:val="ListBullet"/>
      </w:pPr>
      <w:r>
        <w:t>Estatísticos; médicos veterinários e zootecnistas;</w:t>
      </w:r>
    </w:p>
    <w:p>
      <w:pPr>
        <w:pStyle w:val="ListBullet"/>
      </w:pPr>
      <w:r>
        <w:t>Museólogos; químicos; profissionais de relações públicas;</w:t>
      </w:r>
    </w:p>
    <w:p>
      <w:pPr>
        <w:pStyle w:val="ListBullet"/>
      </w:pPr>
      <w:r>
        <w:t>Técnicos industriais; técnicos agrícolas.</w:t>
      </w:r>
    </w:p>
    <w:p>
      <w:pPr>
        <w:jc w:val="both"/>
      </w:pPr>
      <w:r>
        <w:rPr>
          <w:b w:val="0"/>
          <w:i w:val="0"/>
        </w:rPr>
        <w:t>Aplica-se a pessoa física habilitada e a pessoa jurídica que cumpra requisitos cumulativos: sócios com habilitação correspondente sob fiscalização de conselho profissional; sem sócio pessoa jurídica; não ser sócia de outra PJ; atividade limitada às habilitações; serviços-fim prestados diretamente pelos sócios. Não impede a redução: natureza jurídica da sociedade; união de profissionais distintos do rol; forma de distribuição de lucros.</w:t>
      </w:r>
    </w:p>
    <w:p>
      <w:pPr>
        <w:spacing w:before="360" w:after="160"/>
      </w:pPr>
      <w:r>
        <w:rPr>
          <w:b/>
          <w:color w:val="0B3D91"/>
          <w:sz w:val="40"/>
        </w:rPr>
        <w:t>3. Redução de 60%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Setor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Base Legal</w:t>
            </w:r>
          </w:p>
        </w:tc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Educação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204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Cursos do Anexo II LC 214/2025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Saúde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205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Serviços do Anexo III LC 214/2025; glosas excluídas da 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Dispositivos médicos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206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IV LC 214/2025; regularização Anvisa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Dispositivos PcD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207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V LC 214/2025; norma de órgão competente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Medicamentos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208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Registrados na Anvisa, com compromisso de ajustamento de conduta ou sistema CMED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Composições nutricionais especiais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208 §1º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VI LC 214/2025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Alimentos para consumo humano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VII LC 214/2025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Higiene/limpeza populares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VIII LC 214/2025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Produtos agropecuários in natura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Mantêm a condição mesmo com beneficiamento mínimo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Insumos agropecuários e aquícolas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213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IX LC 214/2025; com diferimento opcional (art. 214)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Produções nacionais artísticas/culturais/eventos/jornalísticas/audiovisuais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X LC 214/2025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Comunicação institucional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216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Apenas adquirente: administração pública direta, autarquias e fundações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Atividades desportivas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Educação desportiva e gestão de associações esportivas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Soberania/segurança nacional/cibernética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218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Adquirente público ou sociedade com sócio brasileiro ≥ 20%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4. Alíquota Zero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Setor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Base Legal</w:t>
            </w:r>
          </w:p>
        </w:tc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Dispositivos médicos específicos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220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XII LC 214/2025; ou Anexo IV adquiridos por administração pública/CEBAS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Dispositivos PcD específicos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221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XIII LC 214/2025; ou Anexo V por administração pública/CEBAS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Medicamentos para doenças graves/programa público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222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Doenças raras, oncologia, diabetes, HIV, cardiovasculares, Farmácia Popular; vacinas/soros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Produtos saúde menstrual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223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Tampões, absorventes, calcinhas absorventes, coletores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Hortifruti específico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224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Anexo XV LC 214/2025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Automóveis para PcD/táxi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225 a 231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Limites de valor (R$ 200 mil) e periodicidade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Serviços de ICT sem fins lucrativos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art. 232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Pesquisa/desenvolvimento para administração pública ou contribuinte regular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5. Diferimento de Insumos Agropecuários (art. 214)</w:t>
      </w:r>
    </w:p>
    <w:p>
      <w:pPr>
        <w:jc w:val="both"/>
      </w:pPr>
      <w:r>
        <w:rPr>
          <w:b w:val="0"/>
          <w:i w:val="0"/>
        </w:rPr>
        <w:t>Diferimento opcional do recolhimento da CBS no fornecimento dos insumos do art. 213 a contribuinte regular ou produtor rural não contribuinte cujos insumos sejam aplicados na produção de bens vendidos com direito a crédito presumido (art. 245). Encerramento: na operação não diferida, isenta, sem documento fiscal ou pela aplicação dos créditos presumidos do produtor rural.</w:t>
      </w:r>
    </w:p>
    <w:p>
      <w:pPr>
        <w:spacing w:before="360" w:after="160"/>
      </w:pPr>
      <w:r>
        <w:rPr>
          <w:b/>
          <w:color w:val="0B3D91"/>
          <w:sz w:val="40"/>
        </w:rPr>
        <w:t>6. Transporte Público Coletivo (art. 233)</w:t>
      </w:r>
    </w:p>
    <w:p>
      <w:pPr>
        <w:jc w:val="both"/>
      </w:pPr>
      <w:r>
        <w:rPr>
          <w:b w:val="0"/>
          <w:i w:val="0"/>
        </w:rPr>
        <w:t>Isenção da CBS no fornecimento de transporte público coletivo de passageiros rodoviário e metroviário urbano, semiurbano e metropolitano sob regime de autorização, permissão ou concessão pública.</w:t>
      </w:r>
    </w:p>
    <w:p>
      <w:pPr>
        <w:spacing w:before="360" w:after="160"/>
      </w:pPr>
      <w:r>
        <w:rPr>
          <w:b/>
          <w:color w:val="0B3D91"/>
          <w:sz w:val="40"/>
        </w:rPr>
        <w:t>7. Reabilitação Urbana (art. 234 a 237)</w:t>
      </w:r>
    </w:p>
    <w:p>
      <w:pPr>
        <w:jc w:val="both"/>
      </w:pPr>
      <w:r>
        <w:rPr>
          <w:b w:val="0"/>
          <w:i w:val="0"/>
        </w:rPr>
        <w:t>Redução de 60% (alienação) e 80% (locação) para projetos de reabilitação urbana de zonas históricas e áreas críticas, conforme aprovação pela Comissão Tripartite (Ministério das Cidades, Fazenda e CGIBS). Operações abrangidas: serviços de elaboração de projetos, execução de obras, reparação/restauração/conservação/reforma de imóveis, projetos complementares, primeira alienação dos imóveis localizados nas zonas em até 5 anos do habite-se, locação por 5 anos a partir do habite-se.</w:t>
      </w:r>
    </w:p>
    <w:p>
      <w:pPr>
        <w:spacing w:before="360" w:after="160"/>
      </w:pPr>
      <w:r>
        <w:rPr>
          <w:b/>
          <w:color w:val="0B3D91"/>
          <w:sz w:val="40"/>
        </w:rPr>
        <w:t>8. Produtor Rural Não Contribuinte (art. 238 a 249)</w:t>
      </w:r>
    </w:p>
    <w:p>
      <w:pPr>
        <w:jc w:val="both"/>
      </w:pPr>
      <w:r>
        <w:rPr>
          <w:b w:val="0"/>
          <w:i w:val="0"/>
        </w:rPr>
        <w:t>Não contribuintes: produtor rural com receita anual &lt; R$ 3.600.000,00; produtor rural integrado pessoa física ou jurídica. Receita atualizada pelo IPCA. Soma de receitas em caso de participação societária. Possível opção pelo regime regular. Crédito presumido para o adquirente contribuinte regular do produtor rural não contribuinte (art. 245), na proporção definida em ato conjunto, calculado pela fórmula CP = (VO×C)/(1+C). Cooperativas optantes do regime do art. 391 também podem apropriar.</w:t>
      </w:r>
    </w:p>
    <w:p>
      <w:pPr>
        <w:spacing w:before="360" w:after="160"/>
      </w:pPr>
      <w:r>
        <w:rPr>
          <w:b/>
          <w:color w:val="0B3D91"/>
          <w:sz w:val="40"/>
        </w:rPr>
        <w:t>9. Transportador Autônomo de Carga (art. 250 a 255)</w:t>
      </w:r>
    </w:p>
    <w:p>
      <w:pPr>
        <w:jc w:val="both"/>
      </w:pPr>
      <w:r>
        <w:rPr>
          <w:b w:val="0"/>
          <w:i w:val="0"/>
        </w:rPr>
        <w:t>Crédito presumido para o contribuinte regular adquirente de serviço de transporte de carga de TAC pessoa física não contribuinte ou inscrito como MEI. Crédito calculado pela fórmula CP = (VO×C)/(1+C), com percentual definido em ato conjunto. Vedada utilização para ressarcimento — somente compensação.</w:t>
      </w:r>
    </w:p>
    <w:p>
      <w:pPr>
        <w:spacing w:before="360" w:after="160"/>
      </w:pPr>
      <w:r>
        <w:rPr>
          <w:b/>
          <w:color w:val="0B3D91"/>
          <w:sz w:val="40"/>
        </w:rPr>
        <w:t>10. Resíduos Sólidos para Reciclagem (art. 256 e 257)</w:t>
      </w:r>
    </w:p>
    <w:p>
      <w:pPr>
        <w:jc w:val="both"/>
      </w:pPr>
      <w:r>
        <w:rPr>
          <w:b w:val="0"/>
          <w:i w:val="0"/>
        </w:rPr>
        <w:t>Crédito presumido de 7% sobre o valor da aquisição de resíduos sólidos de coletores incentivados (PFs, associações, cooperativas) para destinação final ambientalmente adequada. Vedações: agrotóxicos, medicamentos, pilhas, pneus, eletroeletrônicos, óleos lubrificantes (com exceção para rerrefinadores), lâmpadas e sucata de cobre.</w:t>
      </w:r>
    </w:p>
    <w:p>
      <w:pPr>
        <w:spacing w:before="360" w:after="160"/>
      </w:pPr>
      <w:r>
        <w:rPr>
          <w:b/>
          <w:color w:val="0B3D91"/>
          <w:sz w:val="40"/>
        </w:rPr>
        <w:t>11. Bens Móveis Usados Adquiridos de PF (art. 258)</w:t>
      </w:r>
    </w:p>
    <w:p>
      <w:pPr>
        <w:jc w:val="both"/>
      </w:pPr>
      <w:r>
        <w:rPr>
          <w:b w:val="0"/>
          <w:i w:val="0"/>
        </w:rPr>
        <w:t>Crédito presumido para o contribuinte regular que adquire bens móveis usados de pessoa física não contribuinte ou MEI para revenda. Calculado pela alíquota da CBS aplicável à operação de revenda. Veículos: vinculação obrigatória pelo RENAVAM. Demais bens: controle individualizado ou presunção de 50% da receita de revenda.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