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Regime Específico de Combustíveis</w:t>
        <w:br/>
      </w:r>
    </w:p>
    <w:p>
      <w:pPr>
        <w:jc w:val="center"/>
      </w:pPr>
      <w:r>
        <w:rPr>
          <w:color w:val="1F4E79"/>
          <w:sz w:val="28"/>
        </w:rPr>
        <w:t>Capítulo I do Título VI do Livro I (art. 259 a 268) e Capítulo V do Título I do Livro II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TEMA-09-Regime-Combustiveis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Visão Geral e Combustíveis Abrangidos (art. 259)</w:t>
      </w:r>
    </w:p>
    <w:p>
      <w:pPr>
        <w:jc w:val="both"/>
      </w:pPr>
      <w:r>
        <w:rPr>
          <w:b w:val="0"/>
          <w:i w:val="0"/>
        </w:rPr>
        <w:t>Regime monofásico — incidência única sobre as operações com:</w:t>
      </w:r>
    </w:p>
    <w:p>
      <w:pPr>
        <w:pStyle w:val="ListBullet"/>
      </w:pPr>
      <w:r>
        <w:t>Gasolina e correntes;</w:t>
      </w:r>
    </w:p>
    <w:p>
      <w:pPr>
        <w:pStyle w:val="ListBullet"/>
      </w:pPr>
      <w:r>
        <w:t>EAC — Etanol Anidro Combustível;</w:t>
      </w:r>
    </w:p>
    <w:p>
      <w:pPr>
        <w:pStyle w:val="ListBullet"/>
      </w:pPr>
      <w:r>
        <w:t>Óleo diesel e correntes;</w:t>
      </w:r>
    </w:p>
    <w:p>
      <w:pPr>
        <w:pStyle w:val="ListBullet"/>
      </w:pPr>
      <w:r>
        <w:t>Biodiesel (B100);</w:t>
      </w:r>
    </w:p>
    <w:p>
      <w:pPr>
        <w:pStyle w:val="ListBullet"/>
      </w:pPr>
      <w:r>
        <w:t>GLP, inclusive GLGN;</w:t>
      </w:r>
    </w:p>
    <w:p>
      <w:pPr>
        <w:pStyle w:val="ListBullet"/>
      </w:pPr>
      <w:r>
        <w:t>EHC — Etanol Hidratado Combustível;</w:t>
      </w:r>
    </w:p>
    <w:p>
      <w:pPr>
        <w:pStyle w:val="ListBullet"/>
      </w:pPr>
      <w:r>
        <w:t>QAV — Querosene de Aviação;</w:t>
      </w:r>
    </w:p>
    <w:p>
      <w:pPr>
        <w:pStyle w:val="ListBullet"/>
      </w:pPr>
      <w:r>
        <w:t>Óleo combustível;</w:t>
      </w:r>
    </w:p>
    <w:p>
      <w:pPr>
        <w:pStyle w:val="ListBullet"/>
      </w:pPr>
      <w:r>
        <w:t>Gás natural processado;</w:t>
      </w:r>
    </w:p>
    <w:p>
      <w:pPr>
        <w:pStyle w:val="ListBullet"/>
      </w:pPr>
      <w:r>
        <w:t>Biometano;</w:t>
      </w:r>
    </w:p>
    <w:p>
      <w:pPr>
        <w:pStyle w:val="ListBullet"/>
      </w:pPr>
      <w:r>
        <w:t>GNV — Gás Natural Veicular;</w:t>
      </w:r>
    </w:p>
    <w:p>
      <w:pPr>
        <w:pStyle w:val="ListBullet"/>
      </w:pPr>
      <w:r>
        <w:t>Outros autorizados pela ANP em ato conjunto.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GN processado, biometano e GNV: regime postergado para 1º/1/2033 (art. 259, §4º).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2. Base de Cálculo (art. 260 a 261)</w:t>
      </w:r>
    </w:p>
    <w:p>
      <w:pPr>
        <w:jc w:val="both"/>
      </w:pPr>
      <w:r>
        <w:rPr>
          <w:b w:val="0"/>
          <w:i w:val="0"/>
        </w:rPr>
        <w:t>A base é a quantidade de combustível na unidade própria (litro, kg, m³, conforme art. 260, §3º). Líquidos comercializados por volume são convertidos a 20ºC. O valor da CBS é a multiplicação da base pela alíquota específica.</w:t>
      </w:r>
    </w:p>
    <w:p>
      <w:pPr>
        <w:spacing w:before="360" w:after="160"/>
      </w:pPr>
      <w:r>
        <w:rPr>
          <w:b/>
          <w:color w:val="0B3D91"/>
          <w:sz w:val="40"/>
        </w:rPr>
        <w:t>3. Alíquotas Específicas (art. 471 a 479)</w:t>
      </w:r>
    </w:p>
    <w:p>
      <w:pPr>
        <w:pStyle w:val="ListBullet"/>
      </w:pPr>
      <w:r>
        <w:t>Uniformes em todo o território nacional;</w:t>
      </w:r>
    </w:p>
    <w:p>
      <w:pPr>
        <w:pStyle w:val="ListBullet"/>
      </w:pPr>
      <w:r>
        <w:t>Específicas por unidade de medida (ad rem);</w:t>
      </w:r>
    </w:p>
    <w:p>
      <w:pPr>
        <w:pStyle w:val="ListBullet"/>
      </w:pPr>
      <w:r>
        <w:t>Diferenciadas por produto;</w:t>
      </w:r>
    </w:p>
    <w:p>
      <w:pPr>
        <w:pStyle w:val="ListBullet"/>
      </w:pPr>
      <w:r>
        <w:t>Reajustadas no ano anterior à vigência, observada a anterioridade nonagesimal;</w:t>
      </w:r>
    </w:p>
    <w:p>
      <w:pPr>
        <w:pStyle w:val="ListBullet"/>
      </w:pPr>
      <w:r>
        <w:t>Divulgadas por ato do chefe do Poder Executivo da União;</w:t>
      </w:r>
    </w:p>
    <w:p>
      <w:pPr>
        <w:pStyle w:val="ListBullet"/>
      </w:pPr>
      <w:r>
        <w:t>Para 2027, fixadas para não exceder a carga tributária dos tributos federais extintos/reduzidos pela EC 132/2023;</w:t>
      </w:r>
    </w:p>
    <w:p>
      <w:pPr>
        <w:pStyle w:val="ListBullet"/>
      </w:pPr>
      <w:r>
        <w:t>Anos subsequentes: ajustadas pela variação do PMPF do combustível;</w:t>
      </w:r>
    </w:p>
    <w:p>
      <w:pPr>
        <w:pStyle w:val="ListBullet"/>
      </w:pPr>
      <w:r>
        <w:t>Biocombustíveis: tributação inferior à dos fósseis, garantido o diferencial competitivo (art. 472), entre 40% e 90% da alíquota do combustível fóssil de referência.</w:t>
      </w:r>
    </w:p>
    <w:p>
      <w:pPr>
        <w:spacing w:before="360" w:after="160"/>
      </w:pPr>
      <w:r>
        <w:rPr>
          <w:b/>
          <w:color w:val="0B3D91"/>
          <w:sz w:val="40"/>
        </w:rPr>
        <w:t>4. Contribuintes (art. 263)</w:t>
      </w:r>
    </w:p>
    <w:p>
      <w:pPr>
        <w:pStyle w:val="ListBullet"/>
      </w:pPr>
      <w:r>
        <w:t>Produtor nacional de biocombustíveis;</w:t>
      </w:r>
    </w:p>
    <w:p>
      <w:pPr>
        <w:pStyle w:val="ListBullet"/>
      </w:pPr>
      <w:r>
        <w:t>Refinaria de petróleo e suas bases;</w:t>
      </w:r>
    </w:p>
    <w:p>
      <w:pPr>
        <w:pStyle w:val="ListBullet"/>
      </w:pPr>
      <w:r>
        <w:t>Central de matéria-prima petroquímica (CPQ);</w:t>
      </w:r>
    </w:p>
    <w:p>
      <w:pPr>
        <w:pStyle w:val="ListBullet"/>
      </w:pPr>
      <w:r>
        <w:t>Unidade de processamento de gás natural (UPGN) e equiparados;</w:t>
      </w:r>
    </w:p>
    <w:p>
      <w:pPr>
        <w:pStyle w:val="ListBullet"/>
      </w:pPr>
      <w:r>
        <w:t>Formulador de combustíveis;</w:t>
      </w:r>
    </w:p>
    <w:p>
      <w:pPr>
        <w:pStyle w:val="ListBullet"/>
      </w:pPr>
      <w:r>
        <w:t>Importador;</w:t>
      </w:r>
    </w:p>
    <w:p>
      <w:pPr>
        <w:pStyle w:val="ListBullet"/>
      </w:pPr>
      <w:r>
        <w:t>Demais agentes produtores autorizados pela ANP e pelo CGIBS.</w:t>
      </w:r>
    </w:p>
    <w:p>
      <w:pPr>
        <w:jc w:val="both"/>
      </w:pPr>
      <w:r>
        <w:rPr>
          <w:b w:val="0"/>
          <w:i w:val="0"/>
        </w:rPr>
        <w:t>Distribuidoras de combustíveis: quando atuarem como importadores, aplicam-se as regras dos contribuintes do art. 263.</w:t>
      </w:r>
    </w:p>
    <w:p>
      <w:pPr>
        <w:spacing w:before="360" w:after="160"/>
      </w:pPr>
      <w:r>
        <w:rPr>
          <w:b/>
          <w:color w:val="0B3D91"/>
          <w:sz w:val="40"/>
        </w:rPr>
        <w:t>5. Responsabilidade Solidária (art. 264)</w:t>
      </w:r>
    </w:p>
    <w:p>
      <w:pPr>
        <w:jc w:val="both"/>
      </w:pPr>
      <w:r>
        <w:rPr>
          <w:b w:val="0"/>
          <w:i w:val="0"/>
        </w:rPr>
        <w:t>Adquirentes diretos respondem solidariamente pelo pagamento da CBS sobre a operação, exceto quando: (i) liquidada por instrumento que permita split payment (art. 28 a 35); (ii) o débito tenha sido extinto pelo contribuinte; (iii) a responsabilidade abranja apenas o valor não extinto. Estende-se aos demais participantes da cadeia que concorram para o não pagamento.</w:t>
      </w:r>
    </w:p>
    <w:p>
      <w:pPr>
        <w:spacing w:before="360" w:after="160"/>
      </w:pPr>
      <w:r>
        <w:rPr>
          <w:b/>
          <w:color w:val="0B3D91"/>
          <w:sz w:val="40"/>
        </w:rPr>
        <w:t>6. Operações com EAC (art. 265 e 266)</w:t>
      </w:r>
    </w:p>
    <w:p>
      <w:pPr>
        <w:jc w:val="both"/>
      </w:pPr>
      <w:r>
        <w:rPr>
          <w:b w:val="0"/>
          <w:i w:val="0"/>
        </w:rPr>
        <w:t>Atribuição à refinaria, suas bases, CPQ, formulador e importador da responsabilidade pela retenção e recolhimento da CBS sobre EAC nas operações com gasolina A, conforme fórmula:</w:t>
      </w:r>
    </w:p>
    <w:p>
      <w:pPr>
        <w:jc w:val="both"/>
      </w:pPr>
      <w:r>
        <w:rPr>
          <w:b/>
          <w:i w:val="0"/>
        </w:rPr>
        <w:t>VRBM = [QTDA / (1 - IM)] x IM x ALIQ</w:t>
      </w:r>
    </w:p>
    <w:p>
      <w:pPr>
        <w:jc w:val="both"/>
      </w:pPr>
      <w:r>
        <w:rPr>
          <w:b w:val="0"/>
          <w:i w:val="0"/>
        </w:rPr>
        <w:t>Onde: VRBM = valor retido sobre o biocombustível; QTDA = quantidade de gasolina A em litros, convertida a 20ºC; IM = índice de mistura (definido pelo órgão regulador); ALIQ = alíquota específica do EAC.</w:t>
      </w:r>
    </w:p>
    <w:p>
      <w:pPr>
        <w:jc w:val="both"/>
      </w:pPr>
      <w:r>
        <w:rPr>
          <w:b w:val="0"/>
          <w:i w:val="0"/>
        </w:rPr>
        <w:t>Distribuidora que misturar EAC em percentual:</w:t>
      </w:r>
    </w:p>
    <w:p>
      <w:pPr>
        <w:pStyle w:val="ListBullet"/>
      </w:pPr>
      <w:r>
        <w:t>Superior ao obrigatório: recolhe a CBS sobre o excedente;</w:t>
      </w:r>
    </w:p>
    <w:p>
      <w:pPr>
        <w:pStyle w:val="ListBullet"/>
      </w:pPr>
      <w:r>
        <w:t>Inferior ao obrigatório (com tributo já recolhido): tem direito ao ressarcimento, mediante requerimento ao CGIBS.</w:t>
      </w:r>
    </w:p>
    <w:p>
      <w:pPr>
        <w:spacing w:before="360" w:after="160"/>
      </w:pPr>
      <w:r>
        <w:rPr>
          <w:b/>
          <w:color w:val="0B3D91"/>
          <w:sz w:val="40"/>
        </w:rPr>
        <w:t>7. Vedação ao Crédito (art. 267)</w:t>
      </w:r>
    </w:p>
    <w:p>
      <w:pPr>
        <w:jc w:val="both"/>
      </w:pPr>
      <w:r>
        <w:rPr>
          <w:b w:val="0"/>
          <w:i w:val="0"/>
        </w:rPr>
        <w:t>Vedada a apropriação de créditos em aquisições de combustíveis sujeitos à incidência única quando destinadas à distribuição, comercialização ou revenda. Excetua-se: contribuinte do regime regular que utilize o combustível como insumo (art. 47, §4º). Crédito limitado ao valor da CBS registrado nos documentos fiscais idôneos, sem ultrapassar a alíquota específica multiplicada pela quantidade.</w:t>
      </w:r>
    </w:p>
    <w:p>
      <w:pPr>
        <w:spacing w:before="360" w:after="160"/>
      </w:pPr>
      <w:r>
        <w:rPr>
          <w:b/>
          <w:color w:val="0B3D91"/>
          <w:sz w:val="40"/>
        </w:rPr>
        <w:t>8. Demais Obrigações (art. 268)</w:t>
      </w:r>
    </w:p>
    <w:p>
      <w:pPr>
        <w:jc w:val="both"/>
      </w:pPr>
      <w:r>
        <w:rPr>
          <w:b w:val="0"/>
          <w:i w:val="0"/>
        </w:rPr>
        <w:t>Inscrição obrigatória no cadastro com identificação única, condicionada à autorização da ANP. A inscrição pode ser suspensa em caso de operação em desconformidade com especificações ou regulamentação.</w:t>
      </w:r>
    </w:p>
    <w:p>
      <w:pPr>
        <w:spacing w:before="360" w:after="160"/>
      </w:pPr>
      <w:r>
        <w:rPr>
          <w:b/>
          <w:color w:val="0B3D91"/>
          <w:sz w:val="40"/>
        </w:rPr>
        <w:t>9.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O regime monofásico fechado mantém a sistemática atual de PIS/COFINS-Combustíveis em estrutura similar. O ponto crítico é a integração entre as alíquotas específicas (ad rem) e o split payment, que pode adotar percentual simplificado em função da volatilidade dos preços. Distribuidoras devem reforçar controles de mistura e estoque para gestão dos eventos de retenção/ressarcimento sobre EAC e B100.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