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br/>
        <w:br/>
        <w:t>REFORMA TRIBUTÁRIA — CBS</w:t>
      </w:r>
    </w:p>
    <w:p>
      <w:pPr>
        <w:jc w:val="center"/>
      </w:pPr>
      <w:r>
        <w:rPr>
          <w:i/>
          <w:color w:val="595959"/>
          <w:sz w:val="26"/>
        </w:rPr>
        <w:t>Decreto nº 12.955, de 29 de abril de 2026</w:t>
      </w:r>
    </w:p>
    <w:p>
      <w:pPr>
        <w:jc w:val="center"/>
      </w:pPr>
      <w:r>
        <w:rPr>
          <w:b/>
          <w:color w:val="0B3D91"/>
          <w:sz w:val="56"/>
        </w:rPr>
        <w:br/>
        <w:br/>
        <w:t>Regime Específico de Serviços Financeiros</w:t>
        <w:br/>
      </w:r>
    </w:p>
    <w:p>
      <w:pPr>
        <w:jc w:val="center"/>
      </w:pPr>
      <w:r>
        <w:rPr>
          <w:color w:val="1F4E79"/>
          <w:sz w:val="28"/>
        </w:rPr>
        <w:t>Capítulo II do Título VI do Livro I (art. 269 a 329)</w:t>
      </w:r>
    </w:p>
    <w:p/>
    <w:p/>
    <w:p/>
    <w:p/>
    <w:p/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Código do Documento</w:t>
            </w:r>
          </w:p>
        </w:tc>
        <w:tc>
          <w:tcPr>
            <w:tcW w:type="dxa" w:w="4844"/>
          </w:tcPr>
          <w:p>
            <w:r>
              <w:t>TEMA-10-Regime-Servicos-Financeiros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Data de Elaboração</w:t>
            </w:r>
          </w:p>
        </w:tc>
        <w:tc>
          <w:tcPr>
            <w:tcW w:type="dxa" w:w="4844"/>
          </w:tcPr>
          <w:p>
            <w:r>
              <w:t>30/04/2026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Autor Técnico</w:t>
            </w:r>
          </w:p>
        </w:tc>
        <w:tc>
          <w:tcPr>
            <w:tcW w:type="dxa" w:w="4844"/>
          </w:tcPr>
          <w:p>
            <w:r>
              <w:t>ALLAN MARCIO — Consultor Tributário Sênior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Base Normativa</w:t>
            </w:r>
          </w:p>
        </w:tc>
        <w:tc>
          <w:tcPr>
            <w:tcW w:type="dxa" w:w="4844"/>
          </w:tcPr>
          <w:p>
            <w:r>
              <w:t>LC 214/2025; Decreto nº 12.955/2026; EC 132/2023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0B3D91"/>
          <w:sz w:val="40"/>
        </w:rPr>
        <w:t>1. Visão Geral</w:t>
      </w:r>
    </w:p>
    <w:p>
      <w:pPr>
        <w:jc w:val="both"/>
      </w:pPr>
      <w:r>
        <w:rPr>
          <w:b w:val="0"/>
          <w:i w:val="0"/>
        </w:rPr>
        <w:t>Regime de margem com deduções específicas. Aplica-se a fornecimentos por instituições supervisionadas pelo Sistema Financeiro Nacional e demais fornecedores que executam operações de natureza financeira de modo habitual, profissional ou em volume econômico.</w:t>
      </w:r>
    </w:p>
    <w:p>
      <w:pPr>
        <w:spacing w:before="360" w:after="160"/>
      </w:pPr>
      <w:r>
        <w:rPr>
          <w:b/>
          <w:color w:val="0B3D91"/>
          <w:sz w:val="40"/>
        </w:rPr>
        <w:t>2. Operações Abrangidas (art. 269)</w:t>
      </w:r>
    </w:p>
    <w:p>
      <w:pPr>
        <w:pStyle w:val="ListBullet"/>
      </w:pPr>
      <w:r>
        <w:t>Operações de crédito (captação, repasse, adiantamento, empréstimo, financiamento, desconto, recuperação, garantias);</w:t>
      </w:r>
    </w:p>
    <w:p>
      <w:pPr>
        <w:pStyle w:val="ListBullet"/>
      </w:pPr>
      <w:r>
        <w:t>Câmbio;</w:t>
      </w:r>
    </w:p>
    <w:p>
      <w:pPr>
        <w:pStyle w:val="ListBullet"/>
      </w:pPr>
      <w:r>
        <w:t>Títulos e valores mobiliários (negociação, custódia, corretagem, distribuição, assessor de investimento, consultor de valores);</w:t>
      </w:r>
    </w:p>
    <w:p>
      <w:pPr>
        <w:pStyle w:val="ListBullet"/>
      </w:pPr>
      <w:r>
        <w:t>Securitização;</w:t>
      </w:r>
    </w:p>
    <w:p>
      <w:pPr>
        <w:pStyle w:val="ListBullet"/>
      </w:pPr>
      <w:r>
        <w:t>Faturização (factoring);</w:t>
      </w:r>
    </w:p>
    <w:p>
      <w:pPr>
        <w:pStyle w:val="ListBullet"/>
      </w:pPr>
      <w:r>
        <w:t>Arrendamento mercantil operacional e financeiro;</w:t>
      </w:r>
    </w:p>
    <w:p>
      <w:pPr>
        <w:pStyle w:val="ListBullet"/>
      </w:pPr>
      <w:r>
        <w:t>Administração de consórcio;</w:t>
      </w:r>
    </w:p>
    <w:p>
      <w:pPr>
        <w:pStyle w:val="ListBullet"/>
      </w:pPr>
      <w:r>
        <w:t>Gestão e administração de recursos, inclusive fundos de investimento;</w:t>
      </w:r>
    </w:p>
    <w:p>
      <w:pPr>
        <w:pStyle w:val="ListBullet"/>
      </w:pPr>
      <w:r>
        <w:t>Arranjos de pagamento (instituidores, instituições de pagamento, liquidação antecipada de recebíveis, fidelização);</w:t>
      </w:r>
    </w:p>
    <w:p>
      <w:pPr>
        <w:pStyle w:val="ListBullet"/>
      </w:pPr>
      <w:r>
        <w:t>Atividades de entidades administradoras de mercados organizados, infraestruturas e depositárias centrais;</w:t>
      </w:r>
    </w:p>
    <w:p>
      <w:pPr>
        <w:pStyle w:val="ListBullet"/>
      </w:pPr>
      <w:r>
        <w:t>Operações de seguros (exceto saúde);</w:t>
      </w:r>
    </w:p>
    <w:p>
      <w:pPr>
        <w:pStyle w:val="ListBullet"/>
      </w:pPr>
      <w:r>
        <w:t>Resseguros;</w:t>
      </w:r>
    </w:p>
    <w:p>
      <w:pPr>
        <w:pStyle w:val="ListBullet"/>
      </w:pPr>
      <w:r>
        <w:t>Previdência privada (aberta e fechada);</w:t>
      </w:r>
    </w:p>
    <w:p>
      <w:pPr>
        <w:pStyle w:val="ListBullet"/>
      </w:pPr>
      <w:r>
        <w:t>Capitalização;</w:t>
      </w:r>
    </w:p>
    <w:p>
      <w:pPr>
        <w:pStyle w:val="ListBullet"/>
      </w:pPr>
      <w:r>
        <w:t>Intermediação de consórcios, seguros, resseguros, previdência, capitalização;</w:t>
      </w:r>
    </w:p>
    <w:p>
      <w:pPr>
        <w:pStyle w:val="ListBullet"/>
      </w:pPr>
      <w:r>
        <w:t>Serviços de ativos virtuais;</w:t>
      </w:r>
    </w:p>
    <w:p>
      <w:pPr>
        <w:pStyle w:val="ListBullet"/>
      </w:pPr>
      <w:r>
        <w:t>Proteção patrimonial mutualista.</w:t>
      </w:r>
    </w:p>
    <w:p>
      <w:pPr>
        <w:spacing w:before="360" w:after="160"/>
      </w:pPr>
      <w:r>
        <w:rPr>
          <w:b/>
          <w:color w:val="0B3D91"/>
          <w:sz w:val="40"/>
        </w:rPr>
        <w:t>3. Aferição Mensal (art. 274)</w:t>
      </w:r>
    </w:p>
    <w:p>
      <w:pPr>
        <w:jc w:val="both"/>
      </w:pPr>
      <w:r>
        <w:rPr>
          <w:b w:val="0"/>
          <w:i w:val="0"/>
        </w:rPr>
        <w:t>Período de aferição mensal. Para fornecimentos com previsão de dedução, aplica-se a fórmula:</w:t>
      </w:r>
    </w:p>
    <w:p>
      <w:pPr>
        <w:jc w:val="both"/>
      </w:pPr>
      <w:r>
        <w:rPr>
          <w:b/>
          <w:i w:val="0"/>
        </w:rPr>
        <w:t>BC CBS = [(Faturamento Bruto - Deduções) - ISS] / (1 + alíq IBS + alíq CBS)</w:t>
      </w:r>
    </w:p>
    <w:p>
      <w:pPr>
        <w:spacing w:before="360" w:after="160"/>
      </w:pPr>
      <w:r>
        <w:rPr>
          <w:b/>
          <w:color w:val="0B3D91"/>
          <w:sz w:val="40"/>
        </w:rPr>
        <w:t>4. Bases por Tipo de Operação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Operação</w:t>
            </w:r>
          </w:p>
        </w:tc>
        <w:tc>
          <w:tcPr>
            <w:tcW w:type="dxa" w:w="2268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Base</w:t>
            </w:r>
          </w:p>
        </w:tc>
        <w:tc>
          <w:tcPr>
            <w:tcW w:type="dxa" w:w="4535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Deduções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Crédito/câmbio/TVM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Receita das operações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Captação, despesas câmbio, perdas em TVM, encargos de instrumentos de dívida, perdas no recebimento, despesas com assessores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Securitização/factoring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Desconto na liquidação antecipada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Captação, despesas de securitização, perdas no recebimento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Arrendamento operacional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Contraprestações + alienação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Despesas de arrendamento mercantil, depreciação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Arrendamento financeiro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Contraprestações + valor residual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Despesas de captação proporcionais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Administração de consórcio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Tarifas, comissões, taxas, encargos, multas, juros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Intermediação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Arranjos de pagamento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Remuneração efetivamente recebida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Repasses entre participantes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Liquidação antecipada (art. 314)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Desconto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Curva de juros futuros DI; perdas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Seguros ramos elementares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Prêmios + receitas financeiras de ativos garantidores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Indenizações, restituições, intermediação, prêmio de cosseguro cedido, parcelas para reservas técnicas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Previdência/seguro c/ sobrevivência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Contribuições + prêmios + encargos do fundo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Constituição de provisões, restituições, intermediação, indenizações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Capitalização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Arrecadação + receitas com prescrição/penalidades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Reservas técnicas, cancelamentos, intermediação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Ativos virtuais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Valor da prestação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Não há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Resseguros/retrocessão (art. 322)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Alíquota zero</w:t>
            </w:r>
          </w:p>
        </w:tc>
      </w:tr>
    </w:tbl>
    <w:p/>
    <w:p>
      <w:pPr>
        <w:spacing w:before="360" w:after="160"/>
      </w:pPr>
      <w:r>
        <w:rPr>
          <w:b/>
          <w:color w:val="0B3D91"/>
          <w:sz w:val="40"/>
        </w:rPr>
        <w:t>5. Saldo Negativo (art. 278)</w:t>
      </w:r>
    </w:p>
    <w:p>
      <w:pPr>
        <w:jc w:val="both"/>
      </w:pPr>
      <w:r>
        <w:rPr>
          <w:b w:val="0"/>
          <w:i w:val="0"/>
        </w:rPr>
        <w:t>Caso a base apurada seja negativa, o contribuinte pode deduzir o valor das bases positivas dos períodos posteriores, sem atualização, em até 5 anos.</w:t>
      </w:r>
    </w:p>
    <w:p>
      <w:pPr>
        <w:spacing w:before="360" w:after="160"/>
      </w:pPr>
      <w:r>
        <w:rPr>
          <w:b/>
          <w:color w:val="0B3D91"/>
          <w:sz w:val="40"/>
        </w:rPr>
        <w:t>6. Crédito do Adquirente</w:t>
      </w:r>
    </w:p>
    <w:p>
      <w:pPr>
        <w:pStyle w:val="ListBullet"/>
      </w:pPr>
      <w:r>
        <w:t>Tomador de operação de crédito do regime regular: crédito na forma do art. 288 (não cumulatividade limitada à parcela acima da Selic e das deduções autorizadas);</w:t>
      </w:r>
    </w:p>
    <w:p>
      <w:pPr>
        <w:pStyle w:val="ListBullet"/>
      </w:pPr>
      <w:r>
        <w:t>Tomador de cessão de recebíveis/factoring/securitização: crédito sobre a parcela acima da curva DI (art. 290);</w:t>
      </w:r>
    </w:p>
    <w:p>
      <w:pPr>
        <w:pStyle w:val="ListBullet"/>
      </w:pPr>
      <w:r>
        <w:t>Sobre tarifas e comissões dos serviços financeiros: crédito pelo valor pago ao fornecedor (art. 292);</w:t>
      </w:r>
    </w:p>
    <w:p>
      <w:pPr>
        <w:pStyle w:val="ListBullet"/>
      </w:pPr>
      <w:r>
        <w:t>Vedado para hipóteses não expressamente previstas (art. 293).</w:t>
      </w:r>
    </w:p>
    <w:p>
      <w:pPr>
        <w:spacing w:before="360" w:after="160"/>
      </w:pPr>
      <w:r>
        <w:rPr>
          <w:b/>
          <w:color w:val="0B3D91"/>
          <w:sz w:val="40"/>
        </w:rPr>
        <w:t>7. Alíquota (art. 480 e 481)</w:t>
      </w:r>
    </w:p>
    <w:p>
      <w:pPr>
        <w:pStyle w:val="ListBullet"/>
      </w:pPr>
      <w:r>
        <w:t>2026: 0,9%;</w:t>
      </w:r>
    </w:p>
    <w:p>
      <w:pPr>
        <w:pStyle w:val="ListBullet"/>
      </w:pPr>
      <w:r>
        <w:t>2027 a 2033: alíquota fixada conforme cronograma (art. 481), com escalonamento da soma CBS+IBS de 10,85% (2027/2028) até 12,50% (2033);</w:t>
      </w:r>
    </w:p>
    <w:p>
      <w:pPr>
        <w:pStyle w:val="ListBullet"/>
      </w:pPr>
      <w:r>
        <w:t>A partir de 2034: mantida a do ano anterior;</w:t>
      </w:r>
    </w:p>
    <w:p>
      <w:pPr>
        <w:pStyle w:val="ListBullet"/>
      </w:pPr>
      <w:r>
        <w:t>Nacionalmente uniformes; proporção mantida entre CBS e IBS de referência;</w:t>
      </w:r>
    </w:p>
    <w:p>
      <w:pPr>
        <w:pStyle w:val="ListBullet"/>
      </w:pPr>
      <w:r>
        <w:t>Fixação por ato do Poder Executivo da União.</w:t>
      </w:r>
    </w:p>
    <w:p>
      <w:pPr>
        <w:spacing w:before="360" w:after="160"/>
      </w:pPr>
      <w:r>
        <w:rPr>
          <w:b/>
          <w:color w:val="0B3D91"/>
          <w:sz w:val="40"/>
        </w:rPr>
        <w:t>8. FGTS e Fundos Garantidores (art. 308 a 309 e 482 a 484)</w:t>
      </w:r>
    </w:p>
    <w:p>
      <w:pPr>
        <w:jc w:val="both"/>
      </w:pPr>
      <w:r>
        <w:rPr>
          <w:b w:val="0"/>
          <w:i w:val="0"/>
        </w:rPr>
        <w:t>Operações relacionadas ao FGTS sujeitas à CBS por alíquotas nacionalmente uniformes. FGTS não é contribuinte. Agente operador: alíquota zero. Agentes financeiros e bancários: alíquota crescente do art. 484 (de 0,1% em 2026 a 3% a partir de 2033). Demais fundos garantidores e executores de políticas públicas: não incidência (art. 309).</w:t>
      </w:r>
    </w:p>
    <w:p>
      <w:pPr>
        <w:spacing w:before="360" w:after="160"/>
      </w:pPr>
      <w:r>
        <w:rPr>
          <w:b/>
          <w:color w:val="0B3D91"/>
          <w:sz w:val="40"/>
        </w:rPr>
        <w:t>9. Importação e Exportação</w:t>
      </w:r>
    </w:p>
    <w:p>
      <w:pPr>
        <w:jc w:val="both"/>
      </w:pPr>
      <w:r>
        <w:rPr>
          <w:b w:val="0"/>
          <w:i w:val="0"/>
        </w:rPr>
        <w:t>Importação de serviços financeiros (art. 328): alíquotas iguais às internas, com base = receita do fornecedor estrangeiro × fator de redução, ressalvadas hipóteses de alíquota zero quando o importador for contribuinte regular com direito a crédito. Exportação (art. 329): imune, com reversão das deduções na proporção das receitas exportadas.</w:t>
      </w:r>
    </w:p>
    <w:p>
      <w:pPr>
        <w:spacing w:before="360" w:after="160"/>
      </w:pPr>
      <w:r>
        <w:rPr>
          <w:b/>
          <w:color w:val="0B3D91"/>
          <w:sz w:val="40"/>
        </w:rPr>
        <w:t>10. Impactos Operacionais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2CC"/>
          </w:tcPr>
          <w:p>
            <w:r/>
            <w:r>
              <w:rPr>
                <w:b/>
                <w:sz w:val="20"/>
              </w:rPr>
              <w:t>⚠ ATENÇÃO</w:t>
            </w:r>
          </w:p>
          <w:p>
            <w:r>
              <w:rPr>
                <w:sz w:val="22"/>
              </w:rPr>
              <w:t>Instituições financeiras devem reformular seus sistemas de aferição contábil, considerando a apuração mensal por margem com deduções específicas e a obrigação de entrega da DeRE — Declaração de Regimes Específicos. A integração com plataforma RFB/CGIBS para o split payment exige adaptações nos sistemas de pagamento. Cooperativas optantes do regime do art. 391 devem reverter parcialmente as deduções na proporção das operações com associados não contribuintes.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95959"/>
          <w:sz w:val="18"/>
        </w:rPr>
        <w:t>Documento técnico elaborado com base no Decreto nº 12.955, de 29/04/2026.</w:t>
        <w:br/>
      </w:r>
      <w:r>
        <w:rPr>
          <w:i/>
          <w:color w:val="595959"/>
          <w:sz w:val="18"/>
        </w:rPr>
        <w:t>Sujeito a ajustes em razão de atos normativos complementares (RFB/CGIBS) ainda pendentes de publicação.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