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Planos de Assistência à Saúde e Concursos de Prognósticos</w:t>
        <w:br/>
      </w:r>
    </w:p>
    <w:p>
      <w:pPr>
        <w:jc w:val="center"/>
      </w:pPr>
      <w:r>
        <w:rPr>
          <w:color w:val="1F4E79"/>
          <w:sz w:val="28"/>
        </w:rPr>
        <w:t>Capítulos III e IV do Título VI do Livro I (art. 330 a 358)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TEMA-11-Saude-Prognosticos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Planos de Assistência à Saúde — Fornecedores (art. 330)</w:t>
      </w:r>
    </w:p>
    <w:p>
      <w:pPr>
        <w:pStyle w:val="ListBullet"/>
      </w:pPr>
      <w:r>
        <w:t>Seguradoras de saúde;</w:t>
      </w:r>
    </w:p>
    <w:p>
      <w:pPr>
        <w:pStyle w:val="ListBullet"/>
      </w:pPr>
      <w:r>
        <w:t>Administradoras de benefícios;</w:t>
      </w:r>
    </w:p>
    <w:p>
      <w:pPr>
        <w:pStyle w:val="ListBullet"/>
      </w:pPr>
      <w:r>
        <w:t>Cooperativas operadoras de planos de saúde;</w:t>
      </w:r>
    </w:p>
    <w:p>
      <w:pPr>
        <w:pStyle w:val="ListBullet"/>
      </w:pPr>
      <w:r>
        <w:t>Cooperativas de seguro saúde;</w:t>
      </w:r>
    </w:p>
    <w:p>
      <w:pPr>
        <w:pStyle w:val="ListBullet"/>
      </w:pPr>
      <w:r>
        <w:t>Demais operadoras de planos de assistência à saúde.</w:t>
      </w:r>
    </w:p>
    <w:p>
      <w:pPr>
        <w:spacing w:before="360" w:after="160"/>
      </w:pPr>
      <w:r>
        <w:rPr>
          <w:b/>
          <w:color w:val="0B3D91"/>
          <w:sz w:val="40"/>
        </w:rPr>
        <w:t>2. Aferição Mensal e Base (art. 331 e 332)</w:t>
      </w:r>
    </w:p>
    <w:p>
      <w:pPr>
        <w:jc w:val="both"/>
      </w:pPr>
      <w:r>
        <w:rPr>
          <w:b/>
          <w:i w:val="0"/>
        </w:rPr>
        <w:t>BC CBS = [(Faturamento Bruto - Deduções) - ISS] / (1 + alíq IBS + alíq CBS)</w:t>
      </w:r>
    </w:p>
    <w:p>
      <w:pPr>
        <w:jc w:val="both"/>
      </w:pPr>
      <w:r>
        <w:rPr>
          <w:b w:val="0"/>
          <w:i w:val="0"/>
        </w:rPr>
        <w:t>Receitas dos serviços (art. 332, I):</w:t>
      </w:r>
    </w:p>
    <w:p>
      <w:pPr>
        <w:pStyle w:val="ListBullet"/>
      </w:pPr>
      <w:r>
        <w:t>Prêmios e contraprestações (regime de caixa), inclusive coparticipações e taxas de administração/comissões;</w:t>
      </w:r>
    </w:p>
    <w:p>
      <w:pPr>
        <w:pStyle w:val="ListBullet"/>
      </w:pPr>
      <w:r>
        <w:t>Receitas financeiras de ativos garantidores das reservas técnicas (no momento da liquidação ou resgate).</w:t>
      </w:r>
    </w:p>
    <w:p>
      <w:pPr>
        <w:jc w:val="both"/>
      </w:pPr>
      <w:r>
        <w:rPr>
          <w:b w:val="0"/>
          <w:i w:val="0"/>
        </w:rPr>
        <w:t>Deduções (art. 332, II):</w:t>
      </w:r>
    </w:p>
    <w:p>
      <w:pPr>
        <w:pStyle w:val="ListBullet"/>
      </w:pPr>
      <w:r>
        <w:t>Indenizações por eventos ocorridos (sinistros) efetivamente pagos pelo regime de caixa;</w:t>
      </w:r>
    </w:p>
    <w:p>
      <w:pPr>
        <w:pStyle w:val="ListBullet"/>
      </w:pPr>
      <w:r>
        <w:t>Cancelamentos e restituições de prêmios computados como receitas;</w:t>
      </w:r>
    </w:p>
    <w:p>
      <w:pPr>
        <w:pStyle w:val="ListBullet"/>
      </w:pPr>
      <w:r>
        <w:t>Valores pagos a serviços de intermediação (art. 269, XV);</w:t>
      </w:r>
    </w:p>
    <w:p>
      <w:pPr>
        <w:pStyle w:val="ListBullet"/>
      </w:pPr>
      <w:r>
        <w:t>Valores pagos a outras entidades do art. 330 (incluindo administradoras de benefícios).</w:t>
      </w:r>
    </w:p>
    <w:p>
      <w:pPr>
        <w:spacing w:before="360" w:after="160"/>
      </w:pPr>
      <w:r>
        <w:rPr>
          <w:b/>
          <w:color w:val="0B3D91"/>
          <w:sz w:val="40"/>
        </w:rPr>
        <w:t>3. Particularidades das Indenizações</w:t>
      </w:r>
    </w:p>
    <w:p>
      <w:pPr>
        <w:jc w:val="both"/>
      </w:pPr>
      <w:r>
        <w:rPr>
          <w:b w:val="0"/>
          <w:i w:val="0"/>
        </w:rPr>
        <w:t>Indenizações são o total dos custos assistenciais decorrentes da utilização da cobertura: bens/serviços adquiridos diretamente pela operadora ou reembolsos a beneficiários. Os reembolsos a beneficiários não geram crédito ao reembolsado. Glosas pela auditoria médica são excluídas da base. Corresponsabilidade cedida entre operadoras é dedutível.</w:t>
      </w:r>
    </w:p>
    <w:p>
      <w:pPr>
        <w:spacing w:before="360" w:after="160"/>
      </w:pPr>
      <w:r>
        <w:rPr>
          <w:b/>
          <w:color w:val="0B3D91"/>
          <w:sz w:val="40"/>
        </w:rPr>
        <w:t>4. Saldo Negativo, Crédito de Aquisições e Vedações (art. 333 a 335)</w:t>
      </w:r>
    </w:p>
    <w:p>
      <w:pPr>
        <w:jc w:val="both"/>
      </w:pPr>
      <w:r>
        <w:rPr>
          <w:b w:val="0"/>
          <w:i w:val="0"/>
        </w:rPr>
        <w:t>Saldo negativo dedutível em 5 anos. Crédito sobre aquisições de bens e serviços conforme art. 47 a 61, exceto quando houver previsão de dedução da base. Vedada a apropriação de crédito sobre valores deduzidos.</w:t>
      </w:r>
    </w:p>
    <w:p>
      <w:pPr>
        <w:spacing w:before="360" w:after="160"/>
      </w:pPr>
      <w:r>
        <w:rPr>
          <w:b/>
          <w:color w:val="0B3D91"/>
          <w:sz w:val="40"/>
        </w:rPr>
        <w:t>5. Alíquota e Crédito ao Adquirente</w:t>
      </w:r>
    </w:p>
    <w:p>
      <w:pPr>
        <w:jc w:val="both"/>
      </w:pPr>
      <w:r>
        <w:rPr>
          <w:b w:val="0"/>
          <w:i w:val="0"/>
        </w:rPr>
        <w:t>Alíquota nacionalmente uniforme: alíquotas de referência reduzidas em 60% (art. 336). Vedado o crédito ao adquirente, salvo na hipótese do art. 63, §1º, VI (planos compulsórios em convenção coletiva).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Crédito calculado pela proporção entre os prêmios dos titulares empregados (e dependentes) e o total de prêmios arrecadados; e excluída a parcela cujo ônus seja repassado aos empregados (descontos em folha).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6. DeRE e Identificação dos Beneficiários (art. 339)</w:t>
      </w:r>
    </w:p>
    <w:p>
      <w:pPr>
        <w:jc w:val="both"/>
      </w:pPr>
      <w:r>
        <w:rPr>
          <w:b w:val="0"/>
          <w:i w:val="0"/>
        </w:rPr>
        <w:t>Operadoras devem entregar a Declaração de Regimes Específicos (DeRE) com identificação dos titulares e valor dos prêmios/contraprestações, incluindo dependentes. Em planos coletivos não individualizáveis, alocação por faixa etária com coeficientes do art. 339, §2º. Administradora de benefícios é responsável pela apresentação em planos por adesão.</w:t>
      </w:r>
    </w:p>
    <w:p>
      <w:pPr>
        <w:spacing w:before="360" w:after="160"/>
      </w:pPr>
      <w:r>
        <w:rPr>
          <w:b/>
          <w:color w:val="0B3D91"/>
          <w:sz w:val="40"/>
        </w:rPr>
        <w:t>7. Intermediação (art. 340)</w:t>
      </w:r>
    </w:p>
    <w:p>
      <w:pPr>
        <w:jc w:val="both"/>
      </w:pPr>
      <w:r>
        <w:rPr>
          <w:b w:val="0"/>
          <w:i w:val="0"/>
        </w:rPr>
        <w:t>Intermediação de planos sujeita à mesma alíquota dos planos de saúde. Optantes Simples Nacional: regime do Simples se não houver opção; regra geral se opção exercida. Crédito ao segurado/adquirente possível desde que individualizado e respeitada a vedação do art. 63, §1º (uso pessoal).</w:t>
      </w:r>
    </w:p>
    <w:p>
      <w:pPr>
        <w:spacing w:before="360" w:after="160"/>
      </w:pPr>
      <w:r>
        <w:rPr>
          <w:b/>
          <w:color w:val="0B3D91"/>
          <w:sz w:val="40"/>
        </w:rPr>
        <w:t>8. Planos Funerários e de Saúde Animal</w:t>
      </w:r>
    </w:p>
    <w:p>
      <w:pPr>
        <w:pStyle w:val="ListBullet"/>
      </w:pPr>
      <w:r>
        <w:t>Planos de assistência funerária: regime idêntico (art. 345);</w:t>
      </w:r>
    </w:p>
    <w:p>
      <w:pPr>
        <w:pStyle w:val="ListBullet"/>
      </w:pPr>
      <w:r>
        <w:t>Planos de saúde animal: regime idêntico, com alíquota reduzida em 30% (art. 346); vedado o crédito ao adquirente.</w:t>
      </w:r>
    </w:p>
    <w:p>
      <w:pPr>
        <w:spacing w:before="360" w:after="160"/>
      </w:pPr>
      <w:r>
        <w:rPr>
          <w:b/>
          <w:color w:val="0B3D91"/>
          <w:sz w:val="40"/>
        </w:rPr>
        <w:t>9. Concursos de Prognósticos (art. 347 a 358)</w:t>
      </w:r>
    </w:p>
    <w:p>
      <w:pPr>
        <w:jc w:val="both"/>
      </w:pPr>
      <w:r>
        <w:rPr>
          <w:b w:val="0"/>
          <w:i w:val="0"/>
        </w:rPr>
        <w:t>Modalidades abrangidas: lotéricas em meio físico ou virtual, apostas de quota fixa, sweepstakes, apostas de turfe, fantasy sports e demais.</w:t>
      </w:r>
    </w:p>
    <w:p>
      <w:pPr>
        <w:jc w:val="both"/>
      </w:pPr>
      <w:r>
        <w:rPr>
          <w:b w:val="0"/>
          <w:i w:val="0"/>
        </w:rPr>
        <w:t>Aferição mensal. Base de cálculo: receita própria (produto da arrecadação), deduzidas (i) premiações pagas e (ii) destinações obrigatórias por lei a órgãos/fundos públicos e demais beneficiários. O Imposto Seletivo integra a base.</w:t>
      </w:r>
    </w:p>
    <w:p>
      <w:pPr>
        <w:jc w:val="both"/>
      </w:pPr>
      <w:r>
        <w:rPr>
          <w:b w:val="0"/>
          <w:i w:val="0"/>
        </w:rPr>
        <w:t>Alíquota nacionalmente uniforme = soma das alíquotas de referência (art. 353). Vedado o crédito ao apostador.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Importação (caso permitida): regime específico com fator de redução por tipo (art. 356). Exportação: imune, exigida comprovação por IP do dispositivo, geolocalização e declaração do residente no exterior (art. 357).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10.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Operadoras de saúde precisam de modelagem específica para a dedutibilidade de sinistros pelo regime de caixa, identificação dos titulares por NUSS/CPF, integração com o e-Social para cálculo do crédito por convenção coletiva e revisão dos contratos com administradoras de benefícios.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Operadoras de concursos de prognósticos online devem implementar mecanismos robustos de identificação do apostador (residência, geolocalização) para distinção entre operações tributadas (residentes no País) e exportadas (residentes no exterior).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