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Regime Específico de Bens Imóveis</w:t>
        <w:br/>
      </w:r>
    </w:p>
    <w:p>
      <w:pPr>
        <w:jc w:val="center"/>
      </w:pPr>
      <w:r>
        <w:rPr>
          <w:color w:val="1F4E79"/>
          <w:sz w:val="28"/>
        </w:rPr>
        <w:t>Capítulo V do Título VI do Livro I (art. 359 a 390) e Título XII (art. 461 a 463)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TEMA-12-Bens-Imoveis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Operações Abrangidas (art. 360)</w:t>
      </w:r>
    </w:p>
    <w:p>
      <w:pPr>
        <w:pStyle w:val="ListBullet"/>
      </w:pPr>
      <w:r>
        <w:t>Alienação, inclusive decorrente de incorporação e parcelamento;</w:t>
      </w:r>
    </w:p>
    <w:p>
      <w:pPr>
        <w:pStyle w:val="ListBullet"/>
      </w:pPr>
      <w:r>
        <w:t>Cessão e ato translativo/constitutivo oneroso de direitos reais;</w:t>
      </w:r>
    </w:p>
    <w:p>
      <w:pPr>
        <w:pStyle w:val="ListBullet"/>
      </w:pPr>
      <w:r>
        <w:t>Locação, cessão onerosa e arrendamento;</w:t>
      </w:r>
    </w:p>
    <w:p>
      <w:pPr>
        <w:pStyle w:val="ListBullet"/>
      </w:pPr>
      <w:r>
        <w:t>Serviços de administração e intermediação;</w:t>
      </w:r>
    </w:p>
    <w:p>
      <w:pPr>
        <w:pStyle w:val="ListBullet"/>
      </w:pPr>
      <w:r>
        <w:t>Serviços de construção civil.</w:t>
      </w:r>
    </w:p>
    <w:p>
      <w:pPr>
        <w:jc w:val="both"/>
      </w:pPr>
      <w:r>
        <w:rPr>
          <w:b w:val="0"/>
          <w:i w:val="0"/>
        </w:rPr>
        <w:t>Equiparam-se à locação: servidão, cessão de uso ou de espaço, permissão de uso e direito de passagem. Não incidência: permuta entre imóveis (exceto torna), constituição/transmissão de direitos reais de garantia, organizações de fundo patrimonial. Em permutas, valor permutado não conta para o redutor de ajuste.</w:t>
      </w:r>
    </w:p>
    <w:p>
      <w:pPr>
        <w:spacing w:before="360" w:after="160"/>
      </w:pPr>
      <w:r>
        <w:rPr>
          <w:b/>
          <w:color w:val="0B3D91"/>
          <w:sz w:val="40"/>
        </w:rPr>
        <w:t>2. Locação de Curta Duração e Alienação Fiduciária</w:t>
      </w:r>
    </w:p>
    <w:p>
      <w:pPr>
        <w:jc w:val="both"/>
      </w:pPr>
      <w:r>
        <w:rPr>
          <w:b w:val="0"/>
          <w:i w:val="0"/>
        </w:rPr>
        <w:t>Locação, cessão ou arrendamento residencial de até 90 dias por contribuinte regular sujeita-se ao regime de hotelaria (art. 361). Em alienação de imóveis com garantia consolidada/recebida em pagamento por credor financeiro, aplicam-se as regras do art. 294 (não tributada na consolidação; tributada conforme prestador da garantia na alienação).</w:t>
      </w:r>
    </w:p>
    <w:p>
      <w:pPr>
        <w:spacing w:before="360" w:after="160"/>
      </w:pPr>
      <w:r>
        <w:rPr>
          <w:b/>
          <w:color w:val="0B3D91"/>
          <w:sz w:val="40"/>
        </w:rPr>
        <w:t>3. Momento do Fato Gerador (art. 363)</w:t>
      </w:r>
    </w:p>
    <w:p>
      <w:pPr>
        <w:pStyle w:val="ListBullet"/>
      </w:pPr>
      <w:r>
        <w:t>Alienação: ato de alienação (incluindo adjudicação, promessa, carta de reserva, condição suspensiva implementada);</w:t>
      </w:r>
    </w:p>
    <w:p>
      <w:pPr>
        <w:pStyle w:val="ListBullet"/>
      </w:pPr>
      <w:r>
        <w:t>Cessão/ato oneroso translativo: celebração;</w:t>
      </w:r>
    </w:p>
    <w:p>
      <w:pPr>
        <w:pStyle w:val="ListBullet"/>
      </w:pPr>
      <w:r>
        <w:t>Locação/cessão/arrendamento: pagamento;</w:t>
      </w:r>
    </w:p>
    <w:p>
      <w:pPr>
        <w:pStyle w:val="ListBullet"/>
      </w:pPr>
      <w:r>
        <w:t>Serviços de administração e intermediação: pagamento;</w:t>
      </w:r>
    </w:p>
    <w:p>
      <w:pPr>
        <w:pStyle w:val="ListBullet"/>
      </w:pPr>
      <w:r>
        <w:t>Construção civil: fornecimento (regras do art. 11, §3º).</w:t>
      </w:r>
    </w:p>
    <w:p>
      <w:pPr>
        <w:spacing w:before="360" w:after="160"/>
      </w:pPr>
      <w:r>
        <w:rPr>
          <w:b/>
          <w:color w:val="0B3D91"/>
          <w:sz w:val="40"/>
        </w:rPr>
        <w:t>4. Base de Cálculo (art. 364)</w:t>
      </w:r>
    </w:p>
    <w:p>
      <w:pPr>
        <w:jc w:val="both"/>
      </w:pPr>
      <w:r>
        <w:rPr>
          <w:b w:val="0"/>
          <w:i w:val="0"/>
        </w:rPr>
        <w:t>Valor da operação. Inclui acréscimos, juros, multas, atualização monetária e demais previstos no art. 13, §1º. Não computados na locação: tributos/emolumentos sobre o imóvel, despesas de condomínio, foro/taxa de ocupação, quando suportados pelo locatário com prova inequívoca.</w:t>
      </w:r>
    </w:p>
    <w:p>
      <w:pPr>
        <w:jc w:val="both"/>
      </w:pPr>
      <w:r>
        <w:rPr>
          <w:b w:val="0"/>
          <w:i w:val="0"/>
        </w:rPr>
        <w:t>Em fornecimento não oneroso ou com valor inferior ao de mercado, aplica-se o valor de mercado segundo critérios específicos (operação recente do próprio fornecedor; valor de referência do Sinter; cálculo com base em percentuais para locação/direitos reais).</w:t>
      </w:r>
    </w:p>
    <w:p>
      <w:pPr>
        <w:spacing w:before="360" w:after="160"/>
      </w:pPr>
      <w:r>
        <w:rPr>
          <w:b/>
          <w:color w:val="0B3D91"/>
          <w:sz w:val="40"/>
        </w:rPr>
        <w:t>5. Valor de Referência do Imóvel (art. 366 a 368)</w:t>
      </w:r>
    </w:p>
    <w:p>
      <w:pPr>
        <w:jc w:val="both"/>
      </w:pPr>
      <w:r>
        <w:rPr>
          <w:b w:val="0"/>
          <w:i w:val="0"/>
        </w:rPr>
        <w:t>As administrações tributárias apurarão valor de referência por meio de metodologia conjunta RFB/CGIBS, considerando características do imóvel, modelos estatísticos, dados de mercado, tendências, histórico, cadastros municipais (IPTU, ITBI), ITR, ITCMD, instituições financeiras, concessionárias, registros notariais e atributos do imóvel. Disponibilização no Sinter, atualização pelo IPCA. Possível impugnação.</w:t>
      </w:r>
    </w:p>
    <w:p>
      <w:pPr>
        <w:spacing w:before="360" w:after="160"/>
      </w:pPr>
      <w:r>
        <w:rPr>
          <w:b/>
          <w:color w:val="0B3D91"/>
          <w:sz w:val="40"/>
        </w:rPr>
        <w:t>6. Redutor de Ajuste (art. 369 a 375)</w:t>
      </w:r>
    </w:p>
    <w:p>
      <w:pPr>
        <w:jc w:val="both"/>
      </w:pPr>
      <w:r>
        <w:rPr>
          <w:b w:val="0"/>
          <w:i w:val="0"/>
        </w:rPr>
        <w:t>A partir de 1º/1/2027, vinculação ao imóvel de propriedade de contribuinte regular. Valor inicial:</w:t>
      </w:r>
    </w:p>
    <w:p>
      <w:pPr>
        <w:pStyle w:val="ListBullet"/>
      </w:pPr>
      <w:r>
        <w:t>Imóveis em estoque em 31/12/2026: valor de aquisição atualizado ou, por opção, valor de referência;</w:t>
      </w:r>
    </w:p>
    <w:p>
      <w:pPr>
        <w:pStyle w:val="ListBullet"/>
      </w:pPr>
      <w:r>
        <w:t>Imóveis em construção: valor de aquisição + valor dos bens/serviços contabilizados como custo;</w:t>
      </w:r>
    </w:p>
    <w:p>
      <w:pPr>
        <w:pStyle w:val="ListBullet"/>
      </w:pPr>
      <w:r>
        <w:t>Imóveis adquiridos a partir de 1º/1/2027 de não contribuinte: valor de aquisição (limitado em hipóteses específicas).</w:t>
      </w:r>
    </w:p>
    <w:p>
      <w:pPr>
        <w:jc w:val="both"/>
      </w:pPr>
      <w:r>
        <w:rPr>
          <w:b w:val="0"/>
          <w:i w:val="0"/>
        </w:rPr>
        <w:t>Integram o redutor: ITBI, laudêmio (na data do pagamento) e contrapartidas urbanísticas/ambientais. Atualização pelo IPCA. Mantido em alienação a contribuinte regular; extinto em alienação a não contribuinte. Em fusão/remembramento: soma dos redutores. Em divisão: alocação proporcional ao valor de mercado ou área.</w:t>
      </w:r>
    </w:p>
    <w:p>
      <w:pPr>
        <w:spacing w:before="360" w:after="160"/>
      </w:pPr>
      <w:r>
        <w:rPr>
          <w:b/>
          <w:color w:val="0B3D91"/>
          <w:sz w:val="40"/>
        </w:rPr>
        <w:t>7. Redutor Social (art. 376 a 378)</w:t>
      </w:r>
    </w:p>
    <w:p>
      <w:pPr>
        <w:pStyle w:val="ListBullet"/>
      </w:pPr>
      <w:r>
        <w:t>Alienação de imóvel residencial novo: R$ 100.000,00;</w:t>
      </w:r>
    </w:p>
    <w:p>
      <w:pPr>
        <w:pStyle w:val="ListBullet"/>
      </w:pPr>
      <w:r>
        <w:t>Alienação de lote residencial: R$ 30.000,00;</w:t>
      </w:r>
    </w:p>
    <w:p>
      <w:pPr>
        <w:pStyle w:val="ListBullet"/>
      </w:pPr>
      <w:r>
        <w:t>Locação residencial: R$ 600,00/mês.</w:t>
      </w:r>
    </w:p>
    <w:p>
      <w:pPr>
        <w:jc w:val="both"/>
      </w:pPr>
      <w:r>
        <w:rPr>
          <w:b w:val="0"/>
          <w:i w:val="0"/>
        </w:rPr>
        <w:t>Atualização mensal pelo IPCA. Cada redutor social pode ser usado uma única vez por imóvel residencial (alienação).</w:t>
      </w:r>
    </w:p>
    <w:p>
      <w:pPr>
        <w:spacing w:before="360" w:after="160"/>
      </w:pPr>
      <w:r>
        <w:rPr>
          <w:b/>
          <w:color w:val="0B3D91"/>
          <w:sz w:val="40"/>
        </w:rPr>
        <w:t>8. Alíquotas (art. 379)</w:t>
      </w:r>
    </w:p>
    <w:p>
      <w:pPr>
        <w:pStyle w:val="ListBullet"/>
      </w:pPr>
      <w:r>
        <w:t>Operações em geral do regime: redução de 50%;</w:t>
      </w:r>
    </w:p>
    <w:p>
      <w:pPr>
        <w:pStyle w:val="ListBullet"/>
      </w:pPr>
      <w:r>
        <w:t>Locação, cessão onerosa e arrendamento: redução de 70%.</w:t>
      </w:r>
    </w:p>
    <w:p>
      <w:pPr>
        <w:spacing w:before="360" w:after="160"/>
      </w:pPr>
      <w:r>
        <w:rPr>
          <w:b/>
          <w:color w:val="0B3D91"/>
          <w:sz w:val="40"/>
        </w:rPr>
        <w:t>9. Incorporação Imobiliária e Parcelamento (art. 380 e 461 a 463)</w:t>
      </w:r>
    </w:p>
    <w:p>
      <w:pPr>
        <w:jc w:val="both"/>
      </w:pPr>
      <w:r>
        <w:rPr>
          <w:b w:val="0"/>
          <w:i w:val="0"/>
        </w:rPr>
        <w:t>CBS na alienação devida em cada pagamento. Saldo a recuperar pode ser ressarcido (incorporações afetadas, em conta vinculada) ou compensado. Redutor de ajuste e social aplicáveis proporcionalmente ao valor pago.</w:t>
      </w:r>
    </w:p>
    <w:p>
      <w:pPr>
        <w:jc w:val="both"/>
      </w:pPr>
      <w:r>
        <w:rPr>
          <w:b/>
          <w:i w:val="0"/>
        </w:rPr>
        <w:t>Regimes opcionais transitórios (irretratáveis):</w:t>
      </w:r>
    </w:p>
    <w:p>
      <w:pPr>
        <w:pStyle w:val="ListBullet"/>
      </w:pPr>
      <w:r>
        <w:t>Incorporação afetada com pedido de RET até 31/12/2028 (art. 461): 2,08% sobre receita; 0,53% nas hipóteses do art. 4º, §6º e §8º, e art. 8º da Lei 10.931/2004;</w:t>
      </w:r>
    </w:p>
    <w:p>
      <w:pPr>
        <w:pStyle w:val="ListBullet"/>
      </w:pPr>
      <w:r>
        <w:t>Parcelamento do solo registrado até 31/12/2028 (art. 462): 3,65% sobre receita bruta;</w:t>
      </w:r>
    </w:p>
    <w:p>
      <w:pPr>
        <w:pStyle w:val="ListBullet"/>
      </w:pPr>
      <w:r>
        <w:t>Locação/cessão/arrendamento com contrato firmado até 16/01/2025 (art. 463): 3,65% — para uso residencial até 31/12/2028; uso não residencial pelo prazo original do contrato.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Vedações: dedução de redutor de ajuste; uso do redutor social; crédito ao adquirente; apropriação de créditos pelo contribuinte sobre operações afetadas.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10. Pessoa Física como Contribuinte (art. 382)</w:t>
      </w:r>
    </w:p>
    <w:p>
      <w:pPr>
        <w:jc w:val="both"/>
      </w:pPr>
      <w:r>
        <w:rPr>
          <w:b w:val="0"/>
          <w:i w:val="0"/>
        </w:rPr>
        <w:t>PF é contribuinte regular nas hipóteses:</w:t>
      </w:r>
    </w:p>
    <w:p>
      <w:pPr>
        <w:pStyle w:val="ListBullet"/>
      </w:pPr>
      <w:r>
        <w:t>Locação/cessão/arrendamento: receita anual &gt; R$ 240.000,00 (atualizada pelo IPCA) E mais de 3 imóveis distintos;</w:t>
      </w:r>
    </w:p>
    <w:p>
      <w:pPr>
        <w:pStyle w:val="ListBullet"/>
      </w:pPr>
      <w:r>
        <w:t>Alienação ou cessão de direitos reais: mais de 3 imóveis distintos no ano-calendário anterior;</w:t>
      </w:r>
    </w:p>
    <w:p>
      <w:pPr>
        <w:pStyle w:val="ListBullet"/>
      </w:pPr>
      <w:r>
        <w:t>Alienação ou cessão de direitos reais: mais de 1 imóvel construído pelo próprio alienante nos últimos 5 anos.</w:t>
      </w:r>
    </w:p>
    <w:p>
      <w:pPr>
        <w:jc w:val="both"/>
      </w:pPr>
      <w:r>
        <w:rPr>
          <w:b w:val="0"/>
          <w:i w:val="0"/>
        </w:rPr>
        <w:t>No próprio ano-calendário, considera-se contribuinte na 4ª operação ou 2ª construção; ou ao exceder em 20% o limite de receita.</w:t>
      </w:r>
    </w:p>
    <w:p>
      <w:pPr>
        <w:spacing w:before="360" w:after="160"/>
      </w:pPr>
      <w:r>
        <w:rPr>
          <w:b/>
          <w:color w:val="0B3D91"/>
          <w:sz w:val="40"/>
        </w:rPr>
        <w:t>11. Construção Civil — Crédito de Materiais (art. 365)</w:t>
      </w:r>
    </w:p>
    <w:p>
      <w:pPr>
        <w:jc w:val="both"/>
      </w:pPr>
      <w:r>
        <w:rPr>
          <w:b w:val="0"/>
          <w:i w:val="0"/>
        </w:rPr>
        <w:t>Em prestação a não contribuinte regular com fornecimento de materiais: crédito limitado ao débito relativo ao serviço; obrigatório controle por obra (CIB) ou contabilidade de custo por obra. Excedente sujeita-se a estorno.</w:t>
      </w:r>
    </w:p>
    <w:p>
      <w:pPr>
        <w:spacing w:before="360" w:after="160"/>
      </w:pPr>
      <w:r>
        <w:rPr>
          <w:b/>
          <w:color w:val="0B3D91"/>
          <w:sz w:val="40"/>
        </w:rPr>
        <w:t>12. CIB e Habite-se (art. 385 a 390)</w:t>
      </w:r>
    </w:p>
    <w:p>
      <w:pPr>
        <w:jc w:val="both"/>
      </w:pPr>
      <w:r>
        <w:rPr>
          <w:b w:val="0"/>
          <w:i w:val="0"/>
        </w:rPr>
        <w:t>Inscrição obrigatória dos imóveis no Cadastro Imobiliário Brasileiro (CIB). Prazos de adequação: 12 meses (administração federal, serviços notariais e registrais, capitais e DF) e 24 meses (administração estadual e demais municípios). Apuração da CBS por empreendimento de construção, vinculada a CNPJ ou CPF próprio. Documento fiscal de aquisição deve indicar o número da obra.</w:t>
      </w:r>
    </w:p>
    <w:p>
      <w:pPr>
        <w:spacing w:before="360" w:after="160"/>
      </w:pPr>
      <w:r>
        <w:rPr>
          <w:b/>
          <w:color w:val="0B3D91"/>
          <w:sz w:val="40"/>
        </w:rPr>
        <w:t>13.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BE5D6"/>
          </w:tcPr>
          <w:p>
            <w:r/>
            <w:r>
              <w:rPr>
                <w:b/>
                <w:sz w:val="20"/>
              </w:rPr>
              <w:t>✖ RISCO RELEVANTE</w:t>
            </w:r>
          </w:p>
          <w:p>
            <w:r>
              <w:rPr>
                <w:sz w:val="22"/>
              </w:rPr>
              <w:t>Empresas do setor imobiliário precisam tomar decisão estratégica sobre os regimes opcionais transitórios ainda em 2026, considerando: (i) a irretratabilidade da escolha; (ii) o impacto sobre os créditos das aquisições; (iii) o redutor de ajuste perdido na opção; (iv) o efeito sobre a precificação e a competitividade. A composição correta do redutor de ajuste por imóvel é fator crítico para o resultado fiscal a longo prazo.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