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Cooperativas, Bares e Restaurantes, Hotelaria, Transporte, Turismo e SAF</w:t>
        <w:br/>
      </w:r>
    </w:p>
    <w:p>
      <w:pPr>
        <w:jc w:val="center"/>
      </w:pPr>
      <w:r>
        <w:rPr>
          <w:color w:val="1F4E79"/>
          <w:sz w:val="28"/>
        </w:rPr>
        <w:t>Capítulos VI a VIII do Título VI do Livro I (art. 391 a 429)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TEMA-13-Cooperativas-Hotelaria-Saf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Cooperativas (art. 391 a 395)</w:t>
      </w:r>
    </w:p>
    <w:p>
      <w:pPr>
        <w:jc w:val="both"/>
      </w:pPr>
      <w:r>
        <w:rPr>
          <w:b w:val="0"/>
          <w:i w:val="0"/>
        </w:rPr>
        <w:t>Regime específico opcional. Alíquota zero da CBS:</w:t>
      </w:r>
    </w:p>
    <w:p>
      <w:pPr>
        <w:pStyle w:val="ListBullet"/>
      </w:pPr>
      <w:r>
        <w:t>Operação em que o associado fornece bem ou serviço à cooperativa;</w:t>
      </w:r>
    </w:p>
    <w:p>
      <w:pPr>
        <w:pStyle w:val="ListBullet"/>
      </w:pPr>
      <w:r>
        <w:t>Operação em que a cooperativa fornece bem ou serviço a associado sujeito ao regime regular;</w:t>
      </w:r>
    </w:p>
    <w:p>
      <w:pPr>
        <w:pStyle w:val="ListBullet"/>
      </w:pPr>
      <w:r>
        <w:t>Serviços financeiros prestados pela cooperativa a associados, inclusive tarifas e comissões;</w:t>
      </w:r>
    </w:p>
    <w:p>
      <w:pPr>
        <w:pStyle w:val="ListBullet"/>
      </w:pPr>
      <w:r>
        <w:t>Operações entre cooperativas singulares, centrais, federações, confederações associadas, e bancos cooperativos;</w:t>
      </w:r>
    </w:p>
    <w:p>
      <w:pPr>
        <w:pStyle w:val="ListBullet"/>
      </w:pPr>
      <w:r>
        <w:t>Cooperativa de produção agropecuária a associado não contribuinte (com anulação de créditos).</w:t>
      </w:r>
    </w:p>
    <w:p>
      <w:pPr>
        <w:jc w:val="both"/>
      </w:pPr>
      <w:r>
        <w:rPr>
          <w:b w:val="0"/>
          <w:i w:val="0"/>
        </w:rPr>
        <w:t>Não se aplica: operações com não associados; operações com associados não regulares (exceto produção agropecuária); operações fora dos objetivos sociais; uso ou consumo pessoal.</w:t>
      </w:r>
    </w:p>
    <w:p>
      <w:pPr>
        <w:jc w:val="both"/>
      </w:pPr>
      <w:r>
        <w:rPr>
          <w:b w:val="0"/>
          <w:i w:val="0"/>
        </w:rPr>
        <w:t>Opção formalizada anualmente entre 1º/9 e último dia útil de outubro do ano anterior, com efeito a partir de 1º/1. Possibilidade de transferência de créditos das operações antecedentes do associado para a cooperativa (art. 394).</w:t>
      </w:r>
    </w:p>
    <w:p>
      <w:pPr>
        <w:spacing w:before="360" w:after="160"/>
      </w:pPr>
      <w:r>
        <w:rPr>
          <w:b/>
          <w:color w:val="0B3D91"/>
          <w:sz w:val="40"/>
        </w:rPr>
        <w:t>2. Bares e Restaurantes (art. 396 a 401)</w:t>
      </w:r>
    </w:p>
    <w:p>
      <w:pPr>
        <w:jc w:val="both"/>
      </w:pPr>
      <w:r>
        <w:rPr>
          <w:b w:val="0"/>
          <w:i w:val="0"/>
        </w:rPr>
        <w:t>Regime específico para bares, restaurantes, lanchonetes, pastelarias, padarias, casas de chá, sucos, doces e salgados, cafeterias, sorveterias e similares. Aplica-se ao fornecimento de alimentação e bebidas não alcoólicas preparadas no próprio estabelecimento.</w:t>
      </w:r>
    </w:p>
    <w:p>
      <w:pPr>
        <w:jc w:val="both"/>
      </w:pPr>
      <w:r>
        <w:rPr>
          <w:b w:val="0"/>
          <w:i w:val="0"/>
        </w:rPr>
        <w:t>Não se aplica a:</w:t>
      </w:r>
    </w:p>
    <w:p>
      <w:pPr>
        <w:pStyle w:val="ListBullet"/>
      </w:pPr>
      <w:r>
        <w:t>Alimentação para PJ sob contrato (NBS 1.0301.31.00, 1.0301.32.00, 1.0301.39.00 ou CNAE 5620-1/01);</w:t>
      </w:r>
    </w:p>
    <w:p>
      <w:pPr>
        <w:pStyle w:val="ListBullet"/>
      </w:pPr>
      <w:r>
        <w:t>Produtos alimentícios e bebidas adquiridos de terceiros sem preparo;</w:t>
      </w:r>
    </w:p>
    <w:p>
      <w:pPr>
        <w:pStyle w:val="ListBullet"/>
      </w:pPr>
      <w:r>
        <w:t>Bebidas alcoólicas, mesmo preparadas no estabelecimento.</w:t>
      </w:r>
    </w:p>
    <w:p>
      <w:pPr>
        <w:jc w:val="both"/>
      </w:pPr>
      <w:r>
        <w:rPr>
          <w:b w:val="0"/>
          <w:i w:val="0"/>
        </w:rPr>
        <w:t>Base = valor da operação. Excluem-se: gorjeta repassada integralmente ao empregado, até 15% do total; valores não repassados a bares/restaurantes pelo serviço de entrega de plataformas digitais. Alíquota reduzida em 40%. Crédito vedado ao adquirente.</w:t>
      </w:r>
    </w:p>
    <w:p>
      <w:pPr>
        <w:spacing w:before="360" w:after="160"/>
      </w:pPr>
      <w:r>
        <w:rPr>
          <w:b/>
          <w:color w:val="0B3D91"/>
          <w:sz w:val="40"/>
        </w:rPr>
        <w:t>3. Hotelaria, Parques de Diversão e Parques Temáticos (art. 402 a 413)</w:t>
      </w:r>
    </w:p>
    <w:p>
      <w:pPr>
        <w:jc w:val="both"/>
      </w:pPr>
      <w:r>
        <w:rPr>
          <w:b w:val="0"/>
          <w:i w:val="0"/>
        </w:rPr>
        <w:t>Hotelaria — alojamento temporário em unidades de uso exclusivo dos hóspedes (hotéis, motéis, resorts, pousadas, flats, apart-hotéis, etc.) ou em imóvel residencial mobiliado mesmo sem uso exclusivo. Equiparam-se: locação de imóvel residencial mobiliado por contribuinte regular por até 90 dias (art. 361 e 410).</w:t>
      </w:r>
    </w:p>
    <w:p>
      <w:pPr>
        <w:jc w:val="both"/>
      </w:pPr>
      <w:r>
        <w:rPr>
          <w:b w:val="0"/>
          <w:i w:val="0"/>
        </w:rPr>
        <w:t>Parques de diversão e temáticos: estabelecimentos com atrações que entretêm fruídas presencialmente. Inclui o valor do ingresso + atrações cobradas separadamente.</w:t>
      </w:r>
    </w:p>
    <w:p>
      <w:pPr>
        <w:jc w:val="both"/>
      </w:pPr>
      <w:r>
        <w:rPr>
          <w:b w:val="0"/>
          <w:i w:val="0"/>
        </w:rPr>
        <w:t>Alíquota reduzida em 40%. Vedado crédito ao adquirente. Crédito permitido ao fornecedor sobre suas aquisições. Operações de bares/restaurantes nos estabelecimentos seguem o regime próprio.</w:t>
      </w:r>
    </w:p>
    <w:p>
      <w:pPr>
        <w:spacing w:before="360" w:after="160"/>
      </w:pPr>
      <w:r>
        <w:rPr>
          <w:b/>
          <w:color w:val="0B3D91"/>
          <w:sz w:val="40"/>
        </w:rPr>
        <w:t>4. Transporte Coletivo (art. 414 a 416)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Modalidade</w:t>
            </w:r>
          </w:p>
        </w:tc>
        <w:tc>
          <w:tcPr>
            <w:tcW w:type="dxa" w:w="2268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Redução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Coletivo passageiros rodoviário/ferroviário/hidroviário intermunicipal/interestadual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40%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Aéreo regional de passageiros ou cargas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40%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Ferroviário/hidroviário urbano, semiurbano e metropolitano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100% (zero)</w:t>
            </w:r>
          </w:p>
        </w:tc>
      </w:tr>
    </w:tbl>
    <w:p/>
    <w:p>
      <w:pPr>
        <w:jc w:val="both"/>
      </w:pPr>
      <w:r>
        <w:rPr>
          <w:b w:val="0"/>
          <w:i w:val="0"/>
        </w:rPr>
        <w:t>Aplicável apenas ao transporte público sob autorização, permissão ou concessão. Crédito ao adquirente permitido nos regimes com alíquota reduzida; vedado nos com alíquota zero.</w:t>
      </w:r>
    </w:p>
    <w:p>
      <w:pPr>
        <w:spacing w:before="360" w:after="160"/>
      </w:pPr>
      <w:r>
        <w:rPr>
          <w:b/>
          <w:color w:val="0B3D91"/>
          <w:sz w:val="40"/>
        </w:rPr>
        <w:t>5. Agências de Turismo (art. 417 a 420)</w:t>
      </w:r>
    </w:p>
    <w:p>
      <w:pPr>
        <w:jc w:val="both"/>
      </w:pPr>
      <w:r>
        <w:rPr>
          <w:b w:val="0"/>
          <w:i w:val="0"/>
        </w:rPr>
        <w:t>Atividade econômica abrangida: intermediação remunerada entre prestadores e consumidores de serviços turísticos, e fornecimento direto de serviços turísticos (passagens, reservas em hotéis, roteiros, ingressos, viagens, peregrinações, seguros).</w:t>
      </w:r>
    </w:p>
    <w:p>
      <w:pPr>
        <w:jc w:val="both"/>
      </w:pPr>
      <w:r>
        <w:rPr>
          <w:b w:val="0"/>
          <w:i w:val="0"/>
        </w:rPr>
        <w:t>Base de cálculo: na intermediação, valor da operação deduzido dos valores repassados aos fornecedores intermediados; no fornecimento direto, valor da operação. Inclui: comissões, incentivos pagos por terceiros.</w:t>
      </w:r>
    </w:p>
    <w:p>
      <w:pPr>
        <w:jc w:val="both"/>
      </w:pPr>
      <w:r>
        <w:rPr>
          <w:b w:val="0"/>
          <w:i w:val="0"/>
        </w:rPr>
        <w:t>Crédito permitido ao adquirente sobre o serviço de intermediação, e à agência sobre suas aquisições (vedado o crédito sobre os valores deduzidos da base).</w:t>
      </w:r>
    </w:p>
    <w:p>
      <w:pPr>
        <w:spacing w:before="360" w:after="160"/>
      </w:pPr>
      <w:r>
        <w:rPr>
          <w:b/>
          <w:color w:val="0B3D91"/>
          <w:sz w:val="40"/>
        </w:rPr>
        <w:t>6. Sociedade Anônima do Futebol (SAF) (art. 421 a 429)</w:t>
      </w:r>
    </w:p>
    <w:p>
      <w:pPr>
        <w:jc w:val="both"/>
      </w:pPr>
      <w:r>
        <w:rPr>
          <w:b w:val="0"/>
          <w:i w:val="0"/>
        </w:rPr>
        <w:t>Regime de Tributação Específica do Futebol (TEF). Pagamento mensal unificado dos seguintes tributos:</w:t>
      </w:r>
    </w:p>
    <w:p>
      <w:pPr>
        <w:pStyle w:val="ListBullet"/>
      </w:pPr>
      <w:r>
        <w:t>IRPJ + CSLL + Contribuições previdenciárias do art. 22, I a III e §6º da Lei 8.212/1991: 4%;</w:t>
      </w:r>
    </w:p>
    <w:p>
      <w:pPr>
        <w:pStyle w:val="ListBullet"/>
      </w:pPr>
      <w:r>
        <w:t>CBS: 1% (com transição: 0,9% em 2027/2028; 1% a partir de 2033);</w:t>
      </w:r>
    </w:p>
    <w:p>
      <w:pPr>
        <w:pStyle w:val="ListBullet"/>
      </w:pPr>
      <w:r>
        <w:t>IBS: 1% (com transição gradual de 0,1% em 2027/2028 a 1,2% em 2032 e 1% a partir de 2033).</w:t>
      </w:r>
    </w:p>
    <w:p>
      <w:pPr>
        <w:jc w:val="both"/>
      </w:pPr>
      <w:r>
        <w:rPr>
          <w:b/>
          <w:i w:val="0"/>
        </w:rPr>
        <w:t>Base = totalidade das receitas recebidas no mês (regime de caixa), incluindo:</w:t>
      </w:r>
    </w:p>
    <w:p>
      <w:pPr>
        <w:pStyle w:val="ListBullet"/>
      </w:pPr>
      <w:r>
        <w:t>Prêmios por participação ou resultado;</w:t>
      </w:r>
    </w:p>
    <w:p>
      <w:pPr>
        <w:pStyle w:val="ListBullet"/>
      </w:pPr>
      <w:r>
        <w:t>Bilheteria e programas de sócio-torcedor;</w:t>
      </w:r>
    </w:p>
    <w:p>
      <w:pPr>
        <w:pStyle w:val="ListBullet"/>
      </w:pPr>
      <w:r>
        <w:t>Cessão de direitos desportivos dos atletas;</w:t>
      </w:r>
    </w:p>
    <w:p>
      <w:pPr>
        <w:pStyle w:val="ListBullet"/>
      </w:pPr>
      <w:r>
        <w:t>Cessão de direitos de imagem e transmissão;</w:t>
      </w:r>
    </w:p>
    <w:p>
      <w:pPr>
        <w:pStyle w:val="ListBullet"/>
      </w:pPr>
      <w:r>
        <w:t>Transferência de atletas (definitiva ou temporária);</w:t>
      </w:r>
    </w:p>
    <w:p>
      <w:pPr>
        <w:pStyle w:val="ListBullet"/>
      </w:pPr>
      <w:r>
        <w:t>Receitas pela contribuição do clube à formação;</w:t>
      </w:r>
    </w:p>
    <w:p>
      <w:pPr>
        <w:pStyle w:val="ListBullet"/>
      </w:pPr>
      <w:r>
        <w:t>Exploração de propriedade intelectual e ativos;</w:t>
      </w:r>
    </w:p>
    <w:p>
      <w:pPr>
        <w:pStyle w:val="ListBullet"/>
      </w:pPr>
      <w:r>
        <w:t>Atividades conexas;</w:t>
      </w:r>
    </w:p>
    <w:p>
      <w:pPr>
        <w:pStyle w:val="ListBullet"/>
      </w:pPr>
      <w:r>
        <w:t>Operações onerosas em geral;</w:t>
      </w:r>
    </w:p>
    <w:p>
      <w:pPr>
        <w:pStyle w:val="ListBullet"/>
      </w:pPr>
      <w:r>
        <w:t>Receitas financeiras.</w:t>
      </w:r>
    </w:p>
    <w:p>
      <w:pPr>
        <w:jc w:val="both"/>
      </w:pPr>
      <w:r>
        <w:rPr>
          <w:b w:val="0"/>
          <w:i w:val="0"/>
        </w:rPr>
        <w:t>Crédito da CBS limitado à aquisição de direitos desportivos de atletas (art. 426). Vedado o crédito ao adquirente, exceto na aquisição de direitos desportivos. Importação de direitos: regime regular. Cessão para o exterior: imune (art. 429).</w:t>
      </w:r>
    </w:p>
    <w:p>
      <w:pPr>
        <w:spacing w:before="360" w:after="160"/>
      </w:pPr>
      <w:r>
        <w:rPr>
          <w:b/>
          <w:color w:val="0B3D91"/>
          <w:sz w:val="40"/>
        </w:rPr>
        <w:t>7.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Cooperativas devem avaliar custo-benefício da opção pelo regime específico, considerando o efeito sobre a transferência de créditos e a vedação à utilização parcial. Bares e restaurantes precisarão segregar adequadamente as receitas tributadas pelo regime específico daquelas sujeitas ao regime regular (entrega para PJ, bebidas alcoólicas, produtos não preparados).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Hotéis devem revisar políticas de inclusão de serviços no diária (estacionamento, lavanderia, serviços extras) à luz da regra de fornecimento principal e acessório. Parques temáticos precisam segregar ingresso e atrações pagas à parte.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SAFs devem implementar controle integrado de receitas pelo regime de caixa, segregando as operações tributadas pelo TEF daquelas sujeitas ao regime regular (operações não conexas ao futebol).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