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br/>
        <w:br/>
        <w:t>REFORMA TRIBUTÁRIA — CBS</w:t>
      </w:r>
    </w:p>
    <w:p>
      <w:pPr>
        <w:jc w:val="center"/>
      </w:pPr>
      <w:r>
        <w:rPr>
          <w:i/>
          <w:color w:val="595959"/>
          <w:sz w:val="26"/>
        </w:rPr>
        <w:t>Decreto nº 12.955, de 29 de abril de 2026</w:t>
      </w:r>
    </w:p>
    <w:p>
      <w:pPr>
        <w:jc w:val="center"/>
      </w:pPr>
      <w:r>
        <w:rPr>
          <w:b/>
          <w:color w:val="0B3D91"/>
          <w:sz w:val="56"/>
        </w:rPr>
        <w:br/>
        <w:br/>
        <w:t>Zona Franca de Manaus e Áreas de Livre Comércio</w:t>
        <w:br/>
      </w:r>
    </w:p>
    <w:p>
      <w:pPr>
        <w:jc w:val="center"/>
      </w:pPr>
      <w:r>
        <w:rPr>
          <w:color w:val="1F4E79"/>
          <w:sz w:val="28"/>
        </w:rPr>
        <w:t>Título VII do Livro I e Título XI do Livro II (art. 432 a 542)</w:t>
      </w:r>
    </w:p>
    <w:p/>
    <w:p/>
    <w:p/>
    <w:p/>
    <w:p/>
    <w:p/>
    <w:tbl>
      <w:tblPr>
        <w:tblStyle w:val="LightShading-Accent1"/>
        <w:tblW w:type="auto" w:w="0"/>
        <w:tblLook w:firstColumn="1" w:firstRow="1" w:lastColumn="0" w:lastRow="0" w:noHBand="0" w:noVBand="1" w:val="04A0"/>
      </w:tblPr>
      <w:tblGrid>
        <w:gridCol w:w="4844"/>
        <w:gridCol w:w="4844"/>
      </w:tblGrid>
      <w:tr>
        <w:tc>
          <w:tcPr>
            <w:tcW w:type="dxa" w:w="4844"/>
          </w:tcPr>
          <w:p>
            <w:r>
              <w:rPr>
                <w:b/>
              </w:rPr>
              <w:t>Código do Documento</w:t>
            </w:r>
          </w:p>
        </w:tc>
        <w:tc>
          <w:tcPr>
            <w:tcW w:type="dxa" w:w="4844"/>
          </w:tcPr>
          <w:p>
            <w:r>
              <w:t>TEMA-14-ZFM-Areas-Livre-Comercio</w:t>
            </w:r>
          </w:p>
        </w:tc>
      </w:tr>
      <w:tr>
        <w:tc>
          <w:tcPr>
            <w:tcW w:type="dxa" w:w="4844"/>
          </w:tcPr>
          <w:p>
            <w:r>
              <w:rPr>
                <w:b/>
              </w:rPr>
              <w:t>Data de Elaboração</w:t>
            </w:r>
          </w:p>
        </w:tc>
        <w:tc>
          <w:tcPr>
            <w:tcW w:type="dxa" w:w="4844"/>
          </w:tcPr>
          <w:p>
            <w:r>
              <w:t>30/04/2026</w:t>
            </w:r>
          </w:p>
        </w:tc>
      </w:tr>
      <w:tr>
        <w:tc>
          <w:tcPr>
            <w:tcW w:type="dxa" w:w="4844"/>
          </w:tcPr>
          <w:p>
            <w:r>
              <w:rPr>
                <w:b/>
              </w:rPr>
              <w:t>Autor Técnico</w:t>
            </w:r>
          </w:p>
        </w:tc>
        <w:tc>
          <w:tcPr>
            <w:tcW w:type="dxa" w:w="4844"/>
          </w:tcPr>
          <w:p>
            <w:r>
              <w:t>ALLAN MARCIO — Consultor Tributário Sênior</w:t>
            </w:r>
          </w:p>
        </w:tc>
      </w:tr>
      <w:tr>
        <w:tc>
          <w:tcPr>
            <w:tcW w:type="dxa" w:w="4844"/>
          </w:tcPr>
          <w:p>
            <w:r>
              <w:rPr>
                <w:b/>
              </w:rPr>
              <w:t>Base Normativa</w:t>
            </w:r>
          </w:p>
        </w:tc>
        <w:tc>
          <w:tcPr>
            <w:tcW w:type="dxa" w:w="4844"/>
          </w:tcPr>
          <w:p>
            <w:r>
              <w:t>LC 214/2025; Decreto nº 12.955/2026; EC 132/2023</w:t>
            </w:r>
          </w:p>
        </w:tc>
      </w:tr>
    </w:tbl>
    <w:p>
      <w:r>
        <w:br w:type="page"/>
      </w:r>
    </w:p>
    <w:p>
      <w:pPr>
        <w:spacing w:before="360" w:after="160"/>
      </w:pPr>
      <w:r>
        <w:rPr>
          <w:b/>
          <w:color w:val="0B3D91"/>
          <w:sz w:val="40"/>
        </w:rPr>
        <w:t>1. Vigência (art. 432 e 436)</w:t>
      </w:r>
    </w:p>
    <w:p>
      <w:pPr>
        <w:jc w:val="both"/>
      </w:pPr>
      <w:r>
        <w:rPr>
          <w:b w:val="0"/>
          <w:i w:val="0"/>
        </w:rPr>
        <w:t>Benefícios mantidos até 31/12/2073, em razão do limite previsto no art. 92-A do ADCT (introduzido pela EC 132/2023).</w:t>
      </w:r>
    </w:p>
    <w:p>
      <w:pPr>
        <w:spacing w:before="360" w:after="160"/>
      </w:pPr>
      <w:r>
        <w:rPr>
          <w:b/>
          <w:color w:val="0B3D91"/>
          <w:sz w:val="40"/>
        </w:rPr>
        <w:t>2. Áreas Beneficiadas (art. 433 e 437)</w:t>
      </w:r>
    </w:p>
    <w:p>
      <w:pPr>
        <w:jc w:val="both"/>
      </w:pPr>
      <w:r>
        <w:rPr>
          <w:b w:val="0"/>
          <w:i w:val="0"/>
        </w:rPr>
        <w:t>ZFM: parte dos Municípios de Manaus, Rio Preto da Eva e Itacoatiara (art. 2º do DL 288/1967).</w:t>
      </w:r>
    </w:p>
    <w:p>
      <w:pPr>
        <w:jc w:val="both"/>
      </w:pPr>
      <w:r>
        <w:rPr>
          <w:b w:val="0"/>
          <w:i w:val="0"/>
        </w:rPr>
        <w:t>Áreas de Livre Comércio (ALC):</w:t>
      </w:r>
    </w:p>
    <w:p>
      <w:pPr>
        <w:pStyle w:val="ListBullet"/>
      </w:pPr>
      <w:r>
        <w:t>Tabatinga (AM);</w:t>
      </w:r>
    </w:p>
    <w:p>
      <w:pPr>
        <w:pStyle w:val="ListBullet"/>
      </w:pPr>
      <w:r>
        <w:t>Guajará-Mirim (RO);</w:t>
      </w:r>
    </w:p>
    <w:p>
      <w:pPr>
        <w:pStyle w:val="ListBullet"/>
      </w:pPr>
      <w:r>
        <w:t>Boa Vista e Bonfim (RR);</w:t>
      </w:r>
    </w:p>
    <w:p>
      <w:pPr>
        <w:pStyle w:val="ListBullet"/>
      </w:pPr>
      <w:r>
        <w:t>Macapá e Santana (AP);</w:t>
      </w:r>
    </w:p>
    <w:p>
      <w:pPr>
        <w:pStyle w:val="ListBullet"/>
      </w:pPr>
      <w:r>
        <w:t>Brasiléia (com extensão a Epitaciolândia) e Cruzeiro do Sul (AC).</w:t>
      </w:r>
    </w:p>
    <w:p>
      <w:pPr>
        <w:spacing w:before="360" w:after="160"/>
      </w:pPr>
      <w:r>
        <w:rPr>
          <w:b/>
          <w:color w:val="0B3D91"/>
          <w:sz w:val="40"/>
        </w:rPr>
        <w:t>3. Vedações (art. 434)</w:t>
      </w:r>
    </w:p>
    <w:p>
      <w:pPr>
        <w:jc w:val="both"/>
      </w:pPr>
      <w:r>
        <w:rPr>
          <w:b w:val="0"/>
          <w:i w:val="0"/>
        </w:rPr>
        <w:t>Não estão contemplados pelo regime favorecido:</w:t>
      </w:r>
    </w:p>
    <w:p>
      <w:pPr>
        <w:pStyle w:val="ListBullet"/>
      </w:pPr>
      <w:r>
        <w:t>Armas e munições;</w:t>
      </w:r>
    </w:p>
    <w:p>
      <w:pPr>
        <w:pStyle w:val="ListBullet"/>
      </w:pPr>
      <w:r>
        <w:t>Fumo e derivados;</w:t>
      </w:r>
    </w:p>
    <w:p>
      <w:pPr>
        <w:pStyle w:val="ListBullet"/>
      </w:pPr>
      <w:r>
        <w:t>Bebidas alcoólicas;</w:t>
      </w:r>
    </w:p>
    <w:p>
      <w:pPr>
        <w:pStyle w:val="ListBullet"/>
      </w:pPr>
      <w:r>
        <w:t>Automóveis de passageiros;</w:t>
      </w:r>
    </w:p>
    <w:p>
      <w:pPr>
        <w:pStyle w:val="ListBullet"/>
      </w:pPr>
      <w:r>
        <w:t>Petróleo, lubrificantes e combustíveis derivados (com exceções para indústria de refino na ZFM);</w:t>
      </w:r>
    </w:p>
    <w:p>
      <w:pPr>
        <w:pStyle w:val="ListBullet"/>
      </w:pPr>
      <w:r>
        <w:t>Perfumaria/cosméticos (NCM 33.03 a 33.07), salvo destinação ao consumo interno na ZFM ou produção com matérias-primas regionais sob PPB.</w:t>
      </w:r>
    </w:p>
    <w:p>
      <w:pPr>
        <w:spacing w:before="360" w:after="160"/>
      </w:pPr>
      <w:r>
        <w:rPr>
          <w:b/>
          <w:color w:val="0B3D91"/>
          <w:sz w:val="40"/>
        </w:rPr>
        <w:t>4. Habilitação (art. 435 e 438)</w:t>
      </w:r>
    </w:p>
    <w:p>
      <w:pPr>
        <w:jc w:val="both"/>
      </w:pPr>
      <w:r>
        <w:rPr>
          <w:b w:val="0"/>
          <w:i w:val="0"/>
        </w:rPr>
        <w:t>Inscrição específica em cadastro da Suframa para PJ comercial/serviços/industrial não incentivada. Inscrição + projeto técnico-econômico aprovado pelo Conselho de Administração da Suframa para indústria incentivada (com PPB).</w:t>
      </w:r>
    </w:p>
    <w:p>
      <w:pPr>
        <w:jc w:val="both"/>
      </w:pPr>
      <w:r>
        <w:rPr>
          <w:b w:val="0"/>
          <w:i w:val="0"/>
        </w:rPr>
        <w:t>Análise técnica conjunta com órgãos do Estado e Municípios. Manifestação formal do Estado e Município. Comunicação obrigatória à RFB e CGIBS de bloqueio, suspensão ou cancelamento da inscrição.</w:t>
      </w:r>
    </w:p>
    <w:p>
      <w:pPr>
        <w:spacing w:before="360" w:after="160"/>
      </w:pPr>
      <w:r>
        <w:rPr>
          <w:b/>
          <w:color w:val="0B3D91"/>
          <w:sz w:val="40"/>
        </w:rPr>
        <w:t>5. Tratamento Tributário — ZFM (art. 528 a 535)</w:t>
      </w:r>
    </w:p>
    <w:p>
      <w:pPr>
        <w:pStyle w:val="ListBullet"/>
      </w:pPr>
      <w:r>
        <w:t>Suspensão na importação por indústria incentivada para utilização na ZFM (art. 528);</w:t>
      </w:r>
    </w:p>
    <w:p>
      <w:pPr>
        <w:pStyle w:val="ListBullet"/>
      </w:pPr>
      <w:r>
        <w:t>Conversão em isenção: consumo/incorporação no processo produtivo (até 48 meses), depreciação integral ou 48 meses no ativo;</w:t>
      </w:r>
    </w:p>
    <w:p>
      <w:pPr>
        <w:pStyle w:val="ListBullet"/>
      </w:pPr>
      <w:r>
        <w:t>Saída para fora da ZFM antes da conversão: declaração da CBS suspensa com acréscimos legais; crédito permitido ao contribuinte regular (excluídos acréscimos);</w:t>
      </w:r>
    </w:p>
    <w:p>
      <w:pPr>
        <w:pStyle w:val="ListBullet"/>
      </w:pPr>
      <w:r>
        <w:t>Alíquota zero na operação originada fora da ZFM destinada a contribuinte habilitado (art. 529);</w:t>
      </w:r>
    </w:p>
    <w:p>
      <w:pPr>
        <w:pStyle w:val="ListBullet"/>
      </w:pPr>
      <w:r>
        <w:t>Alíquota zero na operação interna da ZFM com bem de origem nacional/serviço prestado fisicamente, destinado a PF/PJ na ZFM (art. 532);</w:t>
      </w:r>
    </w:p>
    <w:p>
      <w:pPr>
        <w:pStyle w:val="ListBullet"/>
      </w:pPr>
      <w:r>
        <w:t>Alíquota zero na operação entre indústrias incentivadas dentro da ZFM com bem material intermediário (art. 530);</w:t>
      </w:r>
    </w:p>
    <w:p>
      <w:pPr>
        <w:pStyle w:val="ListBullet"/>
      </w:pPr>
      <w:r>
        <w:t>Crédito presumido de CBS para indústria incentivada (art. 531):</w:t>
      </w:r>
    </w:p>
    <w:p>
      <w:pPr>
        <w:pStyle w:val="ListBullet"/>
      </w:pPr>
      <w:r>
        <w:t xml:space="preserve">  - 6% para produtos sujeitos ao art. 454 da LC 214/2025;</w:t>
      </w:r>
    </w:p>
    <w:p>
      <w:pPr>
        <w:pStyle w:val="ListBullet"/>
      </w:pPr>
      <w:r>
        <w:t xml:space="preserve">  - 2% nos demais casos.</w:t>
      </w:r>
    </w:p>
    <w:p>
      <w:pPr>
        <w:spacing w:before="360" w:after="160"/>
      </w:pPr>
      <w:r>
        <w:rPr>
          <w:b/>
          <w:color w:val="0B3D91"/>
          <w:sz w:val="40"/>
        </w:rPr>
        <w:t>6. Tratamento Tributário — Áreas de Livre Comércio (art. 536 a 542)</w:t>
      </w:r>
    </w:p>
    <w:p>
      <w:pPr>
        <w:pStyle w:val="ListBullet"/>
      </w:pPr>
      <w:r>
        <w:t>Suspensão na importação por indústria habilitada (art. 438, II) para incorporação no processo produtivo (art. 536);</w:t>
      </w:r>
    </w:p>
    <w:p>
      <w:pPr>
        <w:pStyle w:val="ListBullet"/>
      </w:pPr>
      <w:r>
        <w:t>Alíquota zero na operação originada fora da ALC destinada a contribuinte habilitado (art. 537);</w:t>
      </w:r>
    </w:p>
    <w:p>
      <w:pPr>
        <w:pStyle w:val="ListBullet"/>
      </w:pPr>
      <w:r>
        <w:t>Alíquota zero na operação interna da ALC com bem de origem nacional/serviço prestado fisicamente (art. 538);</w:t>
      </w:r>
    </w:p>
    <w:p>
      <w:pPr>
        <w:pStyle w:val="ListBullet"/>
      </w:pPr>
      <w:r>
        <w:t>Crédito presumido de 6% sobre o valor da operação que destine ao território nacional bem produzido pela própria indústria habilitada (art. 539);</w:t>
      </w:r>
    </w:p>
    <w:p>
      <w:pPr>
        <w:pStyle w:val="ListBullet"/>
      </w:pPr>
      <w:r>
        <w:t>Crédito utilizável apenas para compensação com a CBS — vedado ressarcimento e compensação com outros tributos (art. 540).</w:t>
      </w:r>
    </w:p>
    <w:p>
      <w:pPr>
        <w:spacing w:before="360" w:after="160"/>
      </w:pPr>
      <w:r>
        <w:rPr>
          <w:b/>
          <w:color w:val="0B3D91"/>
          <w:sz w:val="40"/>
        </w:rPr>
        <w:t>7. Internamento de Bens (art. 543 a 550)</w:t>
      </w:r>
    </w:p>
    <w:p>
      <w:pPr>
        <w:jc w:val="both"/>
      </w:pPr>
      <w:r>
        <w:rPr>
          <w:b w:val="0"/>
          <w:i w:val="0"/>
        </w:rPr>
        <w:t>Sistema integrado RFB-Suframa-Estados-Municípios para verificação do ingresso. Comprovação por registro de evento fiscal de internamento no documento fiscal pela Suframa, condicionado ao desembaraço pelas administrações tributárias do destino. Falha no internamento em 120 dias (prorrogáveis até 210) implica declaração da CBS suspensa pelo fornecedor.</w:t>
      </w:r>
    </w:p>
    <w:p>
      <w:pPr>
        <w:jc w:val="both"/>
      </w:pPr>
      <w:r>
        <w:rPr>
          <w:b w:val="0"/>
          <w:i w:val="0"/>
        </w:rPr>
        <w:t>Bens de procedência estrangeira para indústria habilitada exigem licenciamento prévio pela Suframa.</w:t>
      </w:r>
    </w:p>
    <w:p>
      <w:pPr>
        <w:spacing w:before="360" w:after="160"/>
      </w:pPr>
      <w:r>
        <w:rPr>
          <w:b/>
          <w:color w:val="0B3D91"/>
          <w:sz w:val="40"/>
        </w:rPr>
        <w:t>8. Impactos Operacionais</w:t>
      </w:r>
    </w:p>
    <w:tbl>
      <w:tblPr>
        <w:tblW w:type="auto" w:w="0"/>
        <w:tblLook w:firstColumn="1" w:firstRow="1" w:lastColumn="0" w:lastRow="0" w:noHBand="0" w:noVBand="1" w:val="04A0"/>
      </w:tblPr>
      <w:tblGrid>
        <w:gridCol w:w="9689"/>
      </w:tblGrid>
      <w:tr>
        <w:tc>
          <w:tcPr>
            <w:tcW w:type="dxa" w:w="9689"/>
            <w:shd w:val="clear" w:color="auto" w:fill="FFF2CC"/>
          </w:tcPr>
          <w:p>
            <w:r/>
            <w:r>
              <w:rPr>
                <w:b/>
                <w:sz w:val="20"/>
              </w:rPr>
              <w:t>⚠ ATENÇÃO</w:t>
            </w:r>
          </w:p>
          <w:p>
            <w:r>
              <w:rPr>
                <w:sz w:val="22"/>
              </w:rPr>
              <w:t>Empresas com operações comerciais para a ZFM/ALC devem revisitar os procedimentos de internamento, especialmente o cumprimento dos prazos e a integração do documento fiscal eletrônico. Indústrias incentivadas devem manter rigorosa gestão dos PPBs e dos compromissos do projeto técnico-econômico (P&amp;D, manutenção da produção, investimentos), sob risco de cancelamento da habilitação.</w:t>
            </w:r>
          </w:p>
        </w:tc>
      </w:tr>
    </w:tbl>
    <w:p/>
    <w:p/>
    <w:p>
      <w:pPr>
        <w:jc w:val="center"/>
      </w:pPr>
      <w:r>
        <w:t>──────────────────────────────────────────────────</w:t>
      </w:r>
    </w:p>
    <w:p>
      <w:pPr>
        <w:jc w:val="center"/>
      </w:pPr>
      <w:r>
        <w:rPr>
          <w:i/>
          <w:color w:val="595959"/>
          <w:sz w:val="18"/>
        </w:rPr>
        <w:t>Documento técnico elaborado com base no Decreto nº 12.955, de 29/04/2026.</w:t>
        <w:br/>
      </w:r>
      <w:r>
        <w:rPr>
          <w:i/>
          <w:color w:val="595959"/>
          <w:sz w:val="18"/>
        </w:rPr>
        <w:t>Sujeito a ajustes em razão de atos normativos complementares (RFB/CGIBS) ainda pendentes de publicação.</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