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8"/>
        </w:rPr>
        <w:br/>
        <w:br/>
        <w:t>REFORMA TRIBUTÁRIA — CBS</w:t>
      </w:r>
    </w:p>
    <w:p>
      <w:pPr>
        <w:jc w:val="center"/>
      </w:pPr>
      <w:r>
        <w:rPr>
          <w:i/>
          <w:color w:val="595959"/>
          <w:sz w:val="26"/>
        </w:rPr>
        <w:t>Decreto nº 12.955, de 29 de abril de 2026</w:t>
      </w:r>
    </w:p>
    <w:p>
      <w:pPr>
        <w:jc w:val="center"/>
      </w:pPr>
      <w:r>
        <w:rPr>
          <w:b/>
          <w:color w:val="0B3D91"/>
          <w:sz w:val="56"/>
        </w:rPr>
        <w:br/>
        <w:br/>
        <w:t>Compras Governamentais, Cashback e Devolução ao Turista Estrangeiro</w:t>
        <w:br/>
      </w:r>
    </w:p>
    <w:p>
      <w:pPr>
        <w:jc w:val="center"/>
      </w:pPr>
      <w:r>
        <w:rPr>
          <w:color w:val="1F4E79"/>
          <w:sz w:val="28"/>
        </w:rPr>
        <w:t>Título VIII do Livro I (art. 439 a 443) e Títulos VII a IX do Livro II (art. 492 a 516)</w:t>
      </w:r>
    </w:p>
    <w:p/>
    <w:p/>
    <w:p/>
    <w:p/>
    <w:p/>
    <w:p/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b/>
              </w:rPr>
              <w:t>Código do Documento</w:t>
            </w:r>
          </w:p>
        </w:tc>
        <w:tc>
          <w:tcPr>
            <w:tcW w:type="dxa" w:w="4844"/>
          </w:tcPr>
          <w:p>
            <w:r>
              <w:t>TEMA-15-Compras-Governo-Cashback</w:t>
            </w:r>
          </w:p>
        </w:tc>
      </w:tr>
      <w:tr>
        <w:tc>
          <w:tcPr>
            <w:tcW w:type="dxa" w:w="4844"/>
          </w:tcPr>
          <w:p>
            <w:r>
              <w:rPr>
                <w:b/>
              </w:rPr>
              <w:t>Data de Elaboração</w:t>
            </w:r>
          </w:p>
        </w:tc>
        <w:tc>
          <w:tcPr>
            <w:tcW w:type="dxa" w:w="4844"/>
          </w:tcPr>
          <w:p>
            <w:r>
              <w:t>30/04/2026</w:t>
            </w:r>
          </w:p>
        </w:tc>
      </w:tr>
      <w:tr>
        <w:tc>
          <w:tcPr>
            <w:tcW w:type="dxa" w:w="4844"/>
          </w:tcPr>
          <w:p>
            <w:r>
              <w:rPr>
                <w:b/>
              </w:rPr>
              <w:t>Autor Técnico</w:t>
            </w:r>
          </w:p>
        </w:tc>
        <w:tc>
          <w:tcPr>
            <w:tcW w:type="dxa" w:w="4844"/>
          </w:tcPr>
          <w:p>
            <w:r>
              <w:t>ALLAN MARCIO — Consultor Tributário Sênior</w:t>
            </w:r>
          </w:p>
        </w:tc>
      </w:tr>
      <w:tr>
        <w:tc>
          <w:tcPr>
            <w:tcW w:type="dxa" w:w="4844"/>
          </w:tcPr>
          <w:p>
            <w:r>
              <w:rPr>
                <w:b/>
              </w:rPr>
              <w:t>Base Normativa</w:t>
            </w:r>
          </w:p>
        </w:tc>
        <w:tc>
          <w:tcPr>
            <w:tcW w:type="dxa" w:w="4844"/>
          </w:tcPr>
          <w:p>
            <w:r>
              <w:t>LC 214/2025; Decreto nº 12.955/2026; EC 132/2023</w:t>
            </w:r>
          </w:p>
        </w:tc>
      </w:tr>
    </w:tbl>
    <w:p>
      <w:r>
        <w:br w:type="page"/>
      </w:r>
    </w:p>
    <w:p>
      <w:pPr>
        <w:spacing w:before="360" w:after="160"/>
      </w:pPr>
      <w:r>
        <w:rPr>
          <w:b/>
          <w:color w:val="0B3D91"/>
          <w:sz w:val="40"/>
        </w:rPr>
        <w:t>1. Compras Governamentais — Regra Geral (art. 439)</w:t>
      </w:r>
    </w:p>
    <w:p>
      <w:pPr>
        <w:jc w:val="both"/>
      </w:pPr>
      <w:r>
        <w:rPr>
          <w:b w:val="0"/>
          <w:i w:val="0"/>
        </w:rPr>
        <w:t>Aquisições de bens e serviços pela administração pública direta, autarquias e fundações públicas: produto da arrecadação destinado integralmente ao ente contratante, mediante alíquota concentrada (zero para os demais; soma para o contratante).</w:t>
      </w:r>
    </w:p>
    <w:p>
      <w:pPr>
        <w:jc w:val="both"/>
      </w:pPr>
      <w:r>
        <w:rPr>
          <w:b w:val="0"/>
          <w:i w:val="0"/>
        </w:rPr>
        <w:t>Aplicável também a importações da administração pública direta/autárquica/fundacional, inclusive por conta e ordem.</w:t>
      </w:r>
    </w:p>
    <w:p>
      <w:pPr>
        <w:jc w:val="both"/>
      </w:pPr>
      <w:r>
        <w:rPr>
          <w:b w:val="0"/>
          <w:i w:val="0"/>
        </w:rPr>
        <w:t>Não se aplica a aquisições simultaneamente presenciais e dispensadas de licitação.</w:t>
      </w:r>
    </w:p>
    <w:p>
      <w:pPr>
        <w:spacing w:before="360" w:after="160"/>
      </w:pPr>
      <w:r>
        <w:rPr>
          <w:b/>
          <w:color w:val="0B3D91"/>
          <w:sz w:val="40"/>
        </w:rPr>
        <w:t>2. Consórcios Públicos (art. 439, §3º)</w:t>
      </w:r>
    </w:p>
    <w:p>
      <w:pPr>
        <w:jc w:val="both"/>
      </w:pPr>
      <w:r>
        <w:rPr>
          <w:b w:val="0"/>
          <w:i w:val="0"/>
        </w:rPr>
        <w:t>Em aquisições por consórcio público de direito público: alíquotas equiparadas ao Município sede; produto destinado aos entes na proporção do financiamento; documento fiscal em nome do consórcio.</w:t>
      </w:r>
    </w:p>
    <w:p>
      <w:pPr>
        <w:spacing w:before="360" w:after="160"/>
      </w:pPr>
      <w:r>
        <w:rPr>
          <w:b/>
          <w:color w:val="0B3D91"/>
          <w:sz w:val="40"/>
        </w:rPr>
        <w:t>3. Transição (art. 441 e 583)</w:t>
      </w:r>
    </w:p>
    <w:p>
      <w:pPr>
        <w:jc w:val="both"/>
      </w:pPr>
      <w:r>
        <w:rPr>
          <w:b w:val="0"/>
          <w:i w:val="0"/>
        </w:rPr>
        <w:t>Em 2026, sem regime de destinação. Em 2027 e 2028, sem regime de destinação para a CBS nas aquisições de Estados e Municípios. De 2029 a 2032, escalonamento progressivo (10%, 20%, 30%, 40%). Transição plena a partir de 2033.</w:t>
      </w:r>
    </w:p>
    <w:p>
      <w:pPr>
        <w:spacing w:before="360" w:after="160"/>
      </w:pPr>
      <w:r>
        <w:rPr>
          <w:b/>
          <w:color w:val="0B3D91"/>
          <w:sz w:val="40"/>
        </w:rPr>
        <w:t>4. Redutor sobre Alíquota (art. 442 e 443)</w:t>
      </w:r>
    </w:p>
    <w:p>
      <w:pPr>
        <w:jc w:val="both"/>
      </w:pPr>
      <w:r>
        <w:rPr>
          <w:b w:val="0"/>
          <w:i w:val="0"/>
        </w:rPr>
        <w:t>A partir de 1º/1/2027, alíquotas reduzidas pelo redutor fixado em Resolução do Senado Federal, calculado pelo art. 601. Não aplicável a:</w:t>
      </w:r>
    </w:p>
    <w:p>
      <w:pPr>
        <w:pStyle w:val="ListBullet"/>
      </w:pPr>
      <w:r>
        <w:t>Aquisições simultaneamente presenciais e dispensadas de licitação;</w:t>
      </w:r>
    </w:p>
    <w:p>
      <w:pPr>
        <w:pStyle w:val="ListBullet"/>
      </w:pPr>
      <w:r>
        <w:t>Aquisições com alíquotas nacionalmente uniformes (FGTS, planos de saúde, pets, prognósticos, SAF, comércio eletrônico, etc.);</w:t>
      </w:r>
    </w:p>
    <w:p>
      <w:pPr>
        <w:pStyle w:val="ListBullet"/>
      </w:pPr>
      <w:r>
        <w:t>Aquisições do Simples Nacional ou MEI.</w:t>
      </w:r>
    </w:p>
    <w:p>
      <w:pPr>
        <w:jc w:val="both"/>
      </w:pPr>
      <w:r>
        <w:rPr>
          <w:b w:val="0"/>
          <w:i w:val="0"/>
        </w:rPr>
        <w:t>Redutor deve ser considerado nos editais de licitação para formação de preços.</w:t>
      </w:r>
    </w:p>
    <w:p>
      <w:pPr>
        <w:spacing w:before="360" w:after="160"/>
      </w:pPr>
      <w:r>
        <w:rPr>
          <w:b/>
          <w:color w:val="0B3D91"/>
          <w:sz w:val="40"/>
        </w:rPr>
        <w:t>5. Cashback — Devolução Personalizada da CBS (art. 492 a 514)</w:t>
      </w:r>
    </w:p>
    <w:p>
      <w:pPr>
        <w:jc w:val="both"/>
      </w:pPr>
      <w:r>
        <w:rPr>
          <w:b/>
          <w:i w:val="0"/>
        </w:rPr>
        <w:t>Beneficiários (art. 493):</w:t>
      </w:r>
    </w:p>
    <w:p>
      <w:pPr>
        <w:pStyle w:val="ListBullet"/>
      </w:pPr>
      <w:r>
        <w:t>Responsável por unidade familiar de baixa renda no CadÚnico;</w:t>
      </w:r>
    </w:p>
    <w:p>
      <w:pPr>
        <w:pStyle w:val="ListBullet"/>
      </w:pPr>
      <w:r>
        <w:t>Renda familiar mensal per capita até meio salário-mínimo;</w:t>
      </w:r>
    </w:p>
    <w:p>
      <w:pPr>
        <w:pStyle w:val="ListBullet"/>
      </w:pPr>
      <w:r>
        <w:t>Residência no País;</w:t>
      </w:r>
    </w:p>
    <w:p>
      <w:pPr>
        <w:pStyle w:val="ListBullet"/>
      </w:pPr>
      <w:r>
        <w:t>Inscrição em situação regular no CPF.</w:t>
      </w:r>
    </w:p>
    <w:p>
      <w:pPr>
        <w:jc w:val="both"/>
      </w:pPr>
      <w:r>
        <w:rPr>
          <w:b w:val="0"/>
          <w:i w:val="0"/>
        </w:rPr>
        <w:t>Inclusão automática conforme dados do CadÚnico, com possibilidade de exclusão/retorno eletrônico. Tratamento de dados conforme LGPD e CTN, com cessão restrita.</w:t>
      </w:r>
    </w:p>
    <w:p>
      <w:pPr>
        <w:jc w:val="both"/>
      </w:pPr>
      <w:r>
        <w:rPr>
          <w:b/>
          <w:i w:val="0"/>
        </w:rPr>
        <w:t>Modalidades:</w:t>
      </w:r>
    </w:p>
    <w:p>
      <w:pPr>
        <w:pStyle w:val="ListBullet"/>
      </w:pPr>
      <w:r>
        <w:t>Cashback Desconto: aplicado no momento da cobrança em fornecimento domiciliar de energia elétrica, água, esgoto, gás canalizado, telecomunicações;</w:t>
      </w:r>
    </w:p>
    <w:p>
      <w:pPr>
        <w:pStyle w:val="ListBullet"/>
      </w:pPr>
      <w:r>
        <w:t>Cashback Devolução: depositado em conta do responsável familiar (PIX, conta bancária).</w:t>
      </w:r>
    </w:p>
    <w:p>
      <w:pPr>
        <w:jc w:val="both"/>
      </w:pPr>
      <w:r>
        <w:rPr>
          <w:b/>
          <w:i w:val="0"/>
        </w:rPr>
        <w:t>Percentuais (art. 503):</w:t>
      </w:r>
    </w:p>
    <w:p>
      <w:pPr>
        <w:pStyle w:val="ListBullet"/>
      </w:pPr>
      <w:r>
        <w:t>100% para botijão de GLP até 13 kg, energia elétrica, água, esgoto, gás canalizado, telecomunicações;</w:t>
      </w:r>
    </w:p>
    <w:p>
      <w:pPr>
        <w:pStyle w:val="ListBullet"/>
      </w:pPr>
      <w:r>
        <w:t>20% para os demais casos.</w:t>
      </w:r>
    </w:p>
    <w:p>
      <w:pPr>
        <w:jc w:val="both"/>
      </w:pPr>
      <w:r>
        <w:rPr>
          <w:b/>
          <w:i w:val="0"/>
        </w:rPr>
        <w:t>Apuração:</w:t>
      </w:r>
    </w:p>
    <w:p>
      <w:pPr>
        <w:pStyle w:val="ListBullet"/>
      </w:pPr>
      <w:r>
        <w:t>Período mensal (&gt;R$ médio) ou trimestral (≤ R$ médio definido pela RFB);</w:t>
      </w:r>
    </w:p>
    <w:p>
      <w:pPr>
        <w:pStyle w:val="ListBullet"/>
      </w:pPr>
      <w:r>
        <w:t>Pagamento até dia 25 do mês seguinte ao período;</w:t>
      </w:r>
    </w:p>
    <w:p>
      <w:pPr>
        <w:pStyle w:val="ListBullet"/>
      </w:pPr>
      <w:r>
        <w:t>Prazo máximo para utilização: 24 meses;</w:t>
      </w:r>
    </w:p>
    <w:p>
      <w:pPr>
        <w:pStyle w:val="ListBullet"/>
      </w:pPr>
      <w:r>
        <w:t>Procedimento simplificado em localidades com dificuldades operacionais (art. 504).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DDEBF7"/>
          </w:tcPr>
          <w:p>
            <w:r/>
            <w:r>
              <w:rPr>
                <w:b/>
                <w:sz w:val="20"/>
              </w:rPr>
              <w:t>ℹ INFORMAÇÃO TÉCNICA</w:t>
            </w:r>
          </w:p>
          <w:p>
            <w:r>
              <w:rPr>
                <w:sz w:val="22"/>
              </w:rPr>
              <w:t>Início: consumo a partir de 1º/1/2027 (art. 508).</w:t>
            </w:r>
          </w:p>
        </w:tc>
      </w:tr>
    </w:tbl>
    <w:p/>
    <w:p>
      <w:pPr>
        <w:spacing w:before="360" w:after="160"/>
      </w:pPr>
      <w:r>
        <w:rPr>
          <w:b/>
          <w:color w:val="0B3D91"/>
          <w:sz w:val="40"/>
        </w:rPr>
        <w:t>6. Cidadania Fiscal (art. 515)</w:t>
      </w:r>
    </w:p>
    <w:p>
      <w:pPr>
        <w:jc w:val="both"/>
      </w:pPr>
      <w:r>
        <w:rPr>
          <w:b w:val="0"/>
          <w:i w:val="0"/>
        </w:rPr>
        <w:t>Programa de incentivo à cidadania fiscal, financiado por até 0,05% da arrecadação, com estímulo à exigência de documentos fiscais pelos consumidores.</w:t>
      </w:r>
    </w:p>
    <w:p>
      <w:pPr>
        <w:spacing w:before="360" w:after="160"/>
      </w:pPr>
      <w:r>
        <w:rPr>
          <w:b/>
          <w:color w:val="0B3D91"/>
          <w:sz w:val="40"/>
        </w:rPr>
        <w:t>7. Devolução ao Turista Estrangeiro (art. 516)</w:t>
      </w:r>
    </w:p>
    <w:p>
      <w:pPr>
        <w:jc w:val="both"/>
      </w:pPr>
      <w:r>
        <w:rPr>
          <w:b w:val="0"/>
          <w:i w:val="0"/>
        </w:rPr>
        <w:t>Possibilidade futura — disciplinado por ato conjunto do Ministério da Fazenda e CGIBS. Devolução da CBS na saída do território nacional, para domiciliado/residente no exterior em permanência inferior a 90 dias, em bens da bagagem acompanhada via aérea/marítima, fornecidos por contribuintes habilitados. Limite: ≥ USD 1.000,00 por pessoa.</w:t>
      </w:r>
    </w:p>
    <w:p>
      <w:pPr>
        <w:spacing w:before="360" w:after="160"/>
      </w:pPr>
      <w:r>
        <w:rPr>
          <w:b/>
          <w:color w:val="0B3D91"/>
          <w:sz w:val="40"/>
        </w:rPr>
        <w:t>8. Impactos Operacionais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FFF2CC"/>
          </w:tcPr>
          <w:p>
            <w:r/>
            <w:r>
              <w:rPr>
                <w:b/>
                <w:sz w:val="20"/>
              </w:rPr>
              <w:t>⚠ ATENÇÃO</w:t>
            </w:r>
          </w:p>
          <w:p>
            <w:r>
              <w:rPr>
                <w:sz w:val="22"/>
              </w:rPr>
              <w:t>Para empresas com forte atuação em compras públicas, a alíquota concentrada exige modelagem fiscal e financeira própria — o ente contratante precisa de fluxo específico de apuração, com acréscimo da alíquota normalmente devida aos demais entes. A formação de preço para licitação deve incorporar o redutor.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DDEBF7"/>
          </w:tcPr>
          <w:p>
            <w:r/>
            <w:r>
              <w:rPr>
                <w:b/>
                <w:sz w:val="20"/>
              </w:rPr>
              <w:t>ℹ INFORMAÇÃO TÉCNICA</w:t>
            </w:r>
          </w:p>
          <w:p>
            <w:r>
              <w:rPr>
                <w:sz w:val="22"/>
              </w:rPr>
              <w:t>Concessionárias de fornecimento domiciliar (energia, água, gás, telecomunicações) precisam adequar sistemas de faturamento para aplicação automática do cashback desconto, com integração à plataforma RFB e identificação dos beneficiários.</w:t>
            </w:r>
          </w:p>
        </w:tc>
      </w:tr>
    </w:tbl>
    <w:p/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  <w:color w:val="595959"/>
          <w:sz w:val="18"/>
        </w:rPr>
        <w:t>Documento técnico elaborado com base no Decreto nº 12.955, de 29/04/2026.</w:t>
        <w:br/>
      </w:r>
      <w:r>
        <w:rPr>
          <w:i/>
          <w:color w:val="595959"/>
          <w:sz w:val="18"/>
        </w:rPr>
        <w:t>Sujeito a ajustes em razão de atos normativos complementares (RFB/CGIBS) ainda pendentes de publicação.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