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Cadastro, Documento Fiscal, Fiscalização, Penalidades e Transição</w:t>
        <w:br/>
      </w:r>
    </w:p>
    <w:p>
      <w:pPr>
        <w:jc w:val="center"/>
      </w:pPr>
      <w:r>
        <w:rPr>
          <w:color w:val="1F4E79"/>
          <w:sz w:val="28"/>
        </w:rPr>
        <w:t>Título II do Livro I e Títulos da Administração e Transição do Livro II (art. 104 a 151, 551 a 616)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TEMA-16-Cadastro-Doc-Fiscal-Fiscalizacao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Cadastro com Identificação Única (art. 104 a 111)</w:t>
      </w:r>
    </w:p>
    <w:p>
      <w:pPr>
        <w:jc w:val="both"/>
      </w:pPr>
      <w:r>
        <w:rPr>
          <w:b w:val="0"/>
          <w:i w:val="0"/>
        </w:rPr>
        <w:t>Sistema unificado: CPF (PF), CNPJ (PJ e entidades sem personalidade) e CIB (imóveis). Vedação à criação de cadastros distintos para CBS. Integração obrigatória entre RFB, CGIBS e administrações estaduais/municipais.</w:t>
      </w:r>
    </w:p>
    <w:p>
      <w:pPr>
        <w:jc w:val="both"/>
      </w:pPr>
      <w:r>
        <w:rPr>
          <w:b w:val="0"/>
          <w:i w:val="0"/>
        </w:rPr>
        <w:t>Inscrição obrigatória para todos os contribuintes, responsáveis tributários e plataformas digitais, antes do início das atividades. Estende-se a entidades imunes/isentas, autogestão de saúde, fundos patrimoniais, fundos de investimento (em regras específicas), condomínios edilícios, nanoempreendedores, produtores rurais, TACs, consórcios e SCPs em opção pelo regime regular.</w:t>
      </w:r>
    </w:p>
    <w:p>
      <w:pPr>
        <w:jc w:val="both"/>
      </w:pPr>
      <w:r>
        <w:rPr>
          <w:b w:val="0"/>
          <w:i w:val="0"/>
        </w:rPr>
        <w:t>Inaptidão automática quando aplicável (art. 81 da Lei 9.430/1996), suspensão pelo art. 471-E da LC 214/2025.</w:t>
      </w:r>
    </w:p>
    <w:p>
      <w:pPr>
        <w:spacing w:before="360" w:after="160"/>
      </w:pPr>
      <w:r>
        <w:rPr>
          <w:b/>
          <w:color w:val="0B3D91"/>
          <w:sz w:val="40"/>
        </w:rPr>
        <w:t>2. Domicílio Tributário Eletrônico — DTE (art. 561 a 563)</w:t>
      </w:r>
    </w:p>
    <w:p>
      <w:pPr>
        <w:jc w:val="both"/>
      </w:pPr>
      <w:r>
        <w:rPr>
          <w:b w:val="0"/>
          <w:i w:val="0"/>
        </w:rPr>
        <w:t>Obrigatório para todas as entidades inscritas no cadastro. Intimações eletrônicas consideradas pessoais. Massa falida e PJ em liquidação intimadas no DTE da PJ. Possibilidade de sistema unificado RFB-CGIBS.</w:t>
      </w:r>
    </w:p>
    <w:p>
      <w:pPr>
        <w:spacing w:before="360" w:after="160"/>
      </w:pPr>
      <w:r>
        <w:rPr>
          <w:b/>
          <w:color w:val="0B3D91"/>
          <w:sz w:val="40"/>
        </w:rPr>
        <w:t>3. Documentos Fiscais Eletrônicos (art. 112 a 151)</w:t>
      </w:r>
    </w:p>
    <w:p>
      <w:pPr>
        <w:jc w:val="both"/>
      </w:pPr>
      <w:r>
        <w:rPr>
          <w:b/>
          <w:i w:val="0"/>
        </w:rPr>
        <w:t>Recepcionados:</w:t>
      </w:r>
    </w:p>
    <w:p>
      <w:pPr>
        <w:pStyle w:val="ListBullet"/>
      </w:pPr>
      <w:r>
        <w:t>NF-e (modelo 55);</w:t>
      </w:r>
    </w:p>
    <w:p>
      <w:pPr>
        <w:pStyle w:val="ListBullet"/>
      </w:pPr>
      <w:r>
        <w:t>NFC-e (modelo 65);</w:t>
      </w:r>
    </w:p>
    <w:p>
      <w:pPr>
        <w:pStyle w:val="ListBullet"/>
      </w:pPr>
      <w:r>
        <w:t>NFS-e (padrão nacional);</w:t>
      </w:r>
    </w:p>
    <w:p>
      <w:pPr>
        <w:pStyle w:val="ListBullet"/>
      </w:pPr>
      <w:r>
        <w:t>CT-e (modelo 57);</w:t>
      </w:r>
    </w:p>
    <w:p>
      <w:pPr>
        <w:pStyle w:val="ListBullet"/>
      </w:pPr>
      <w:r>
        <w:t>CT-e OS (modelo 67);</w:t>
      </w:r>
    </w:p>
    <w:p>
      <w:pPr>
        <w:pStyle w:val="ListBullet"/>
      </w:pPr>
      <w:r>
        <w:t>BP-e (modelo 63);</w:t>
      </w:r>
    </w:p>
    <w:p>
      <w:pPr>
        <w:pStyle w:val="ListBullet"/>
      </w:pPr>
      <w:r>
        <w:t>MDF-e (modelo 58);</w:t>
      </w:r>
    </w:p>
    <w:p>
      <w:pPr>
        <w:pStyle w:val="ListBullet"/>
      </w:pPr>
      <w:r>
        <w:t>GTV-e (modelo 64);</w:t>
      </w:r>
    </w:p>
    <w:p>
      <w:pPr>
        <w:pStyle w:val="ListBullet"/>
      </w:pPr>
      <w:r>
        <w:t>NF3e (modelo 66 — energia);</w:t>
      </w:r>
    </w:p>
    <w:p>
      <w:pPr>
        <w:pStyle w:val="ListBullet"/>
      </w:pPr>
      <w:r>
        <w:t>NFCom (modelo 62);</w:t>
      </w:r>
    </w:p>
    <w:p>
      <w:pPr>
        <w:pStyle w:val="ListBullet"/>
      </w:pPr>
      <w:r>
        <w:t>NFGas (modelo 76);</w:t>
      </w:r>
    </w:p>
    <w:p>
      <w:pPr>
        <w:pStyle w:val="ListBullet"/>
      </w:pPr>
      <w:r>
        <w:t>DC-e (modelo 99);</w:t>
      </w:r>
    </w:p>
    <w:p>
      <w:pPr>
        <w:pStyle w:val="ListBullet"/>
      </w:pPr>
      <w:r>
        <w:t>NFS-e Via (pedágio);</w:t>
      </w:r>
    </w:p>
    <w:p>
      <w:pPr>
        <w:pStyle w:val="ListBullet"/>
      </w:pPr>
      <w:r>
        <w:t>Duimp e DIR (importação).</w:t>
      </w:r>
    </w:p>
    <w:p>
      <w:pPr>
        <w:jc w:val="both"/>
      </w:pPr>
      <w:r>
        <w:rPr>
          <w:b/>
          <w:i w:val="0"/>
        </w:rPr>
        <w:t>Instituídos (novos):</w:t>
      </w:r>
    </w:p>
    <w:p>
      <w:pPr>
        <w:pStyle w:val="ListBullet"/>
      </w:pPr>
      <w:r>
        <w:t>NFAg (modelo 75 — água e saneamento);</w:t>
      </w:r>
    </w:p>
    <w:p>
      <w:pPr>
        <w:pStyle w:val="ListBullet"/>
      </w:pPr>
      <w:r>
        <w:t>DeRE — Declaração de Regimes Específicos;</w:t>
      </w:r>
    </w:p>
    <w:p>
      <w:pPr>
        <w:pStyle w:val="ListBullet"/>
      </w:pPr>
      <w:r>
        <w:t>NF-e ABI (modelo 77 — alienação de bem imóvel).</w:t>
      </w:r>
    </w:p>
    <w:p>
      <w:pPr>
        <w:jc w:val="both"/>
      </w:pPr>
      <w:r>
        <w:rPr>
          <w:b w:val="0"/>
          <w:i w:val="0"/>
        </w:rPr>
        <w:t>Validade: assinatura eletrônica + autorização de uso (RFB/CGNFS-e/CGIBS). Eventos fiscais alteram ou agregam informações. Contingência permitida com transmissão posterior. Documentos auxiliares (DANFE, DACTE, etc.) representam graficamente o documento fiscal.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Período de transição até 31/12/2032 com aplicação de atos normativos editados pelo CGNFS-e, CGSN, CONFAZ/SINIEF e RFB.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4. Programa Nacional de Conformidade Tributária (PNCT) (art. 551)</w:t>
      </w:r>
    </w:p>
    <w:p>
      <w:pPr>
        <w:jc w:val="both"/>
      </w:pPr>
      <w:r>
        <w:rPr>
          <w:b w:val="0"/>
          <w:i w:val="0"/>
        </w:rPr>
        <w:t>Aplicação no âmbito da CBS conforme programas de conformidade da LC 225/2026. Adesão garante prazos preferenciais de ressarcimento (30 dias — art. 39, §9º, I) e descontos majorados nas multas (art. 578, §1º — 60% no pagamento integral em prazo de impugnação).</w:t>
      </w:r>
    </w:p>
    <w:p>
      <w:pPr>
        <w:spacing w:before="360" w:after="160"/>
      </w:pPr>
      <w:r>
        <w:rPr>
          <w:b/>
          <w:color w:val="0B3D91"/>
          <w:sz w:val="40"/>
        </w:rPr>
        <w:t>5. Fiscalização e Procedimento (art. 552 a 570)</w:t>
      </w:r>
    </w:p>
    <w:p>
      <w:pPr>
        <w:jc w:val="both"/>
      </w:pPr>
      <w:r>
        <w:rPr>
          <w:b w:val="0"/>
          <w:i w:val="0"/>
        </w:rPr>
        <w:t>Competência exclusiva do Auditor-Fiscal da RFB para CBS. Compartilhamento com administrações estaduais/municipais via ambiente comum (gestão RFB-CGIBS). Possíveis convênios para delegação recíproca em processos de pequeno valor (≤ 60 SM) e contencioso administrativo.</w:t>
      </w:r>
    </w:p>
    <w:p>
      <w:pPr>
        <w:jc w:val="both"/>
      </w:pPr>
      <w:r>
        <w:rPr>
          <w:b w:val="0"/>
          <w:i w:val="0"/>
        </w:rPr>
        <w:t>Procedimento fiscal iniciado por: ciência do primeiro ato; apreensão de bens, documentos ou livros; despacho aduaneiro de mercadoria importada. Validade dos atos: 90 dias prorrogáveis. Cruzamento de dados e monitoramento não excluem a espontaneidade.</w:t>
      </w:r>
    </w:p>
    <w:p>
      <w:pPr>
        <w:jc w:val="both"/>
      </w:pPr>
      <w:r>
        <w:rPr>
          <w:b w:val="0"/>
          <w:i w:val="0"/>
        </w:rPr>
        <w:t>Auto de infração com requisitos do art. 559. Lançamento eletrônico. Atos distintos para cada tributo ou penalidade.</w:t>
      </w:r>
    </w:p>
    <w:p>
      <w:pPr>
        <w:jc w:val="both"/>
      </w:pPr>
      <w:r>
        <w:rPr>
          <w:b/>
          <w:i w:val="0"/>
        </w:rPr>
        <w:t>Presunções legais (art. 564):</w:t>
      </w:r>
    </w:p>
    <w:p>
      <w:pPr>
        <w:pStyle w:val="ListBullet"/>
      </w:pPr>
      <w:r>
        <w:t>Operações sem documento fiscal idôneo;</w:t>
      </w:r>
    </w:p>
    <w:p>
      <w:pPr>
        <w:pStyle w:val="ListBullet"/>
      </w:pPr>
      <w:r>
        <w:t>Saldo credor de caixa;</w:t>
      </w:r>
    </w:p>
    <w:p>
      <w:pPr>
        <w:pStyle w:val="ListBullet"/>
      </w:pPr>
      <w:r>
        <w:t>Manutenção de obrigações já pagas no passivo;</w:t>
      </w:r>
    </w:p>
    <w:p>
      <w:pPr>
        <w:pStyle w:val="ListBullet"/>
      </w:pPr>
      <w:r>
        <w:t>Pagamentos não escriturados;</w:t>
      </w:r>
    </w:p>
    <w:p>
      <w:pPr>
        <w:pStyle w:val="ListBullet"/>
      </w:pPr>
      <w:r>
        <w:t>Ativo oculto;</w:t>
      </w:r>
    </w:p>
    <w:p>
      <w:pPr>
        <w:pStyle w:val="ListBullet"/>
      </w:pPr>
      <w:r>
        <w:t>Documentos sem registro contábil;</w:t>
      </w:r>
    </w:p>
    <w:p>
      <w:pPr>
        <w:pStyle w:val="ListBullet"/>
      </w:pPr>
      <w:r>
        <w:t>Créditos em conta bancária sem comprovação;</w:t>
      </w:r>
    </w:p>
    <w:p>
      <w:pPr>
        <w:pStyle w:val="ListBullet"/>
      </w:pPr>
      <w:r>
        <w:t>Suprimento de caixa sem comprovação;</w:t>
      </w:r>
    </w:p>
    <w:p>
      <w:pPr>
        <w:pStyle w:val="ListBullet"/>
      </w:pPr>
      <w:r>
        <w:t>Diferenças no controle quantitativo de estoques;</w:t>
      </w:r>
    </w:p>
    <w:p>
      <w:pPr>
        <w:pStyle w:val="ListBullet"/>
      </w:pPr>
      <w:r>
        <w:t>Estoque em desacordo;</w:t>
      </w:r>
    </w:p>
    <w:p>
      <w:pPr>
        <w:pStyle w:val="ListBullet"/>
      </w:pPr>
      <w:r>
        <w:t>Baixas de exigibilidades sem efetiva quitação;</w:t>
      </w:r>
    </w:p>
    <w:p>
      <w:pPr>
        <w:pStyle w:val="ListBullet"/>
      </w:pPr>
      <w:r>
        <w:t>Recebimentos por instituições financeiras superiores aos declarados;</w:t>
      </w:r>
    </w:p>
    <w:p>
      <w:pPr>
        <w:pStyle w:val="ListBullet"/>
      </w:pPr>
      <w:r>
        <w:t>Receita líquida inferior ao custo no período.</w:t>
      </w:r>
    </w:p>
    <w:p>
      <w:pPr>
        <w:spacing w:before="360" w:after="160"/>
      </w:pPr>
      <w:r>
        <w:rPr>
          <w:b/>
          <w:color w:val="0B3D91"/>
          <w:sz w:val="40"/>
        </w:rPr>
        <w:t>6. Regime Especial de Fiscalização — REF (art. 567 a 570)</w:t>
      </w:r>
    </w:p>
    <w:p>
      <w:pPr>
        <w:jc w:val="both"/>
      </w:pPr>
      <w:r>
        <w:rPr>
          <w:b w:val="0"/>
          <w:i w:val="0"/>
        </w:rPr>
        <w:t>Aplicável em casos de: embaraço/resistência à fiscalização, evidências de pessoa interposta, operações sem inscrição cadastral, prática reiterada de infrações, comércio com indícios de contrabando/descaminho, ou crime contra a ordem tributária.</w:t>
      </w:r>
    </w:p>
    <w:p>
      <w:pPr>
        <w:jc w:val="both"/>
      </w:pPr>
      <w:r>
        <w:rPr>
          <w:b w:val="0"/>
          <w:i w:val="0"/>
        </w:rPr>
        <w:t>Medidas possíveis (art. 568): fiscalização ininterrupta no estabelecimento; redução à metade dos períodos de apuração e prazos de recolhimento; controle eletrônico compulsório; recolhimento diário; comprovação sistemática; controle especial de documentos.</w:t>
      </w:r>
    </w:p>
    <w:p>
      <w:pPr>
        <w:jc w:val="both"/>
      </w:pPr>
      <w:r>
        <w:rPr>
          <w:b w:val="0"/>
          <w:i w:val="0"/>
        </w:rPr>
        <w:t>Multas dobradas durante o REF (art. 570, §1º).</w:t>
      </w:r>
    </w:p>
    <w:p>
      <w:pPr>
        <w:spacing w:before="360" w:after="160"/>
      </w:pPr>
      <w:r>
        <w:rPr>
          <w:b/>
          <w:color w:val="0B3D91"/>
          <w:sz w:val="40"/>
        </w:rPr>
        <w:t>7. Penalidades (art. 571 a 581)</w:t>
      </w:r>
    </w:p>
    <w:p>
      <w:pPr>
        <w:jc w:val="both"/>
      </w:pPr>
      <w:r>
        <w:rPr>
          <w:b w:val="0"/>
          <w:i w:val="0"/>
        </w:rPr>
        <w:t>UPF (Unidade Padrão Fiscal) = R$ 200,00, atualizada anualmente pelo IPCA (art. 573).</w:t>
      </w:r>
    </w:p>
    <w:p>
      <w:pPr>
        <w:jc w:val="both"/>
      </w:pPr>
      <w:r>
        <w:rPr>
          <w:b/>
          <w:i w:val="0"/>
        </w:rPr>
        <w:t>Multas de Ofício (art. 576):</w:t>
      </w:r>
    </w:p>
    <w:p>
      <w:pPr>
        <w:pStyle w:val="ListBullet"/>
      </w:pPr>
      <w:r>
        <w:t>75% sobre tributo não declarado/declarado a menor;</w:t>
      </w:r>
    </w:p>
    <w:p>
      <w:pPr>
        <w:pStyle w:val="ListBullet"/>
      </w:pPr>
      <w:r>
        <w:t>75% sobre crédito indevido pela utilização indevida;</w:t>
      </w:r>
    </w:p>
    <w:p>
      <w:pPr>
        <w:pStyle w:val="ListBullet"/>
      </w:pPr>
      <w:r>
        <w:t>50% sobre tributo objeto de lançamento se a declaração descrever corretamente o bem/serviço, quantidade e valor;</w:t>
      </w:r>
    </w:p>
    <w:p>
      <w:pPr>
        <w:pStyle w:val="ListBullet"/>
      </w:pPr>
      <w:r>
        <w:t>100% em sonegação, fraude, simulação ou conluio;</w:t>
      </w:r>
    </w:p>
    <w:p>
      <w:pPr>
        <w:pStyle w:val="ListBullet"/>
      </w:pPr>
      <w:r>
        <w:t>150% em reincidência específica.</w:t>
      </w:r>
    </w:p>
    <w:p>
      <w:pPr>
        <w:jc w:val="both"/>
      </w:pPr>
      <w:r>
        <w:rPr>
          <w:b/>
          <w:i w:val="0"/>
        </w:rPr>
        <w:t>Principais Multas Acessórias (art. 577):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669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Infração</w:t>
            </w:r>
          </w:p>
        </w:tc>
        <w:tc>
          <w:tcPr>
            <w:tcW w:type="dxa" w:w="340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Multa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20"/>
              </w:rPr>
              <w:t>Não inscrição no cadastro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10 UPF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20"/>
              </w:rPr>
              <w:t>Não atualização do domicílio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10 UPF por infração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20"/>
              </w:rPr>
              <w:t>Atraso/falta de entrega de arquivos eletrônicos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20 a 30 UPF por período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20"/>
              </w:rPr>
              <w:t>Software para descumprimento — instalação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100 UPF/equipamento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20"/>
              </w:rPr>
              <w:t>Software para descumprimento — fornecimento a terceiros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150 UPF/equipamento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20"/>
              </w:rPr>
              <w:t>Embaraço/resistência à fiscalização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50 UPF por evento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20"/>
              </w:rPr>
              <w:t>Operação sem documento fiscal idôneo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100% do tributo de referência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20"/>
              </w:rPr>
              <w:t>Documento fiscal não idôneo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66% do tributo de referência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20"/>
              </w:rPr>
              <w:t>Falsificação/extravio/inutilização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100% do tributo de referência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20"/>
              </w:rPr>
              <w:t>Apropriação indevida ou não estorno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66% do crédito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20"/>
              </w:rPr>
              <w:t>Cancelamento extemporâneo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33% a 66% do tributo de referência</w:t>
            </w:r>
          </w:p>
        </w:tc>
      </w:tr>
    </w:tbl>
    <w:p/>
    <w:p>
      <w:pPr>
        <w:jc w:val="both"/>
      </w:pPr>
      <w:r>
        <w:rPr>
          <w:b/>
          <w:i w:val="0"/>
        </w:rPr>
        <w:t>Reduções no Pagamento (art. 578):</w:t>
      </w:r>
    </w:p>
    <w:p>
      <w:pPr>
        <w:pStyle w:val="ListBullet"/>
      </w:pPr>
      <w:r>
        <w:t>50% no pagamento integral em prazo de impugnação;</w:t>
      </w:r>
    </w:p>
    <w:p>
      <w:pPr>
        <w:pStyle w:val="ListBullet"/>
      </w:pPr>
      <w:r>
        <w:t>40% no parcelamento em prazo de impugnação;</w:t>
      </w:r>
    </w:p>
    <w:p>
      <w:pPr>
        <w:pStyle w:val="ListBullet"/>
      </w:pPr>
      <w:r>
        <w:t>30% no pagamento integral antes da inscrição em DA;</w:t>
      </w:r>
    </w:p>
    <w:p>
      <w:pPr>
        <w:pStyle w:val="ListBullet"/>
      </w:pPr>
      <w:r>
        <w:t>20% no parcelamento antes da inscrição em DA;</w:t>
      </w:r>
    </w:p>
    <w:p>
      <w:pPr>
        <w:pStyle w:val="ListBullet"/>
      </w:pPr>
      <w:r>
        <w:t>Para empresas no PNCT: 60%, 50%, 40%, 30% respectivamente.</w:t>
      </w:r>
    </w:p>
    <w:p>
      <w:pPr>
        <w:spacing w:before="360" w:after="160"/>
      </w:pPr>
      <w:r>
        <w:rPr>
          <w:b/>
          <w:color w:val="0B3D91"/>
          <w:sz w:val="40"/>
        </w:rPr>
        <w:t>8. Penalidades Específicas no Split Payment (art. 579 a 581)</w:t>
      </w:r>
    </w:p>
    <w:p>
      <w:pPr>
        <w:pStyle w:val="ListBullet"/>
      </w:pPr>
      <w:r>
        <w:t>0,1 UPF por transação com falha de segregação;</w:t>
      </w:r>
    </w:p>
    <w:p>
      <w:pPr>
        <w:pStyle w:val="ListBullet"/>
      </w:pPr>
      <w:r>
        <w:t>Multa de mora de 3% por mês ou fração + Selic em atraso/menor recolhimento;</w:t>
      </w:r>
    </w:p>
    <w:p>
      <w:pPr>
        <w:pStyle w:val="ListBullet"/>
      </w:pPr>
      <w:r>
        <w:t>0,001 UPF por transação por dia de atraso na comunicação;</w:t>
      </w:r>
    </w:p>
    <w:p>
      <w:pPr>
        <w:pStyle w:val="ListBullet"/>
      </w:pPr>
      <w:r>
        <w:t>Limite de tolerância: 1% nas primeiras 24 meses; 0,5% após;</w:t>
      </w:r>
    </w:p>
    <w:p>
      <w:pPr>
        <w:pStyle w:val="ListBullet"/>
      </w:pPr>
      <w:r>
        <w:t>Prática reiterada (≥ 10% das transações em dois meses): suspensão/cassação de autorização regulatória; possível inaptidão/suspensão do CNPJ.</w:t>
      </w:r>
    </w:p>
    <w:p>
      <w:pPr>
        <w:spacing w:before="360" w:after="160"/>
      </w:pPr>
      <w:r>
        <w:rPr>
          <w:b/>
          <w:color w:val="0B3D91"/>
          <w:sz w:val="40"/>
        </w:rPr>
        <w:t>9. Período de Transição — Cronograma (art. 582 a 616)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Ano</w:t>
            </w:r>
          </w:p>
        </w:tc>
        <w:tc>
          <w:tcPr>
            <w:tcW w:type="dxa" w:w="340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CBS</w:t>
            </w:r>
          </w:p>
        </w:tc>
        <w:tc>
          <w:tcPr>
            <w:tcW w:type="dxa" w:w="510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2026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0,9% (alíquota-teste)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Dispensa de recolhimento; compensação automática com PIS/COFINS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2027 e 2028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Alíquota fixada por lei reduzida em 0,1 p.p.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Início pleno; convivência com tributos extintos para fato gerador anterior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2029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Alíquota de referência calculada pelo TCU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Cobrança plena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2030 a 2032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Alíquotas de referência ajustadas anualmente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Possíveis revisões pela Resolução do Senado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2033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Alíquota de referência consolidada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Encerramento da transição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2034 e 2035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Alíquota de 2033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Possível redução do art. 600</w:t>
            </w:r>
          </w:p>
        </w:tc>
      </w:tr>
    </w:tbl>
    <w:p/>
    <w:p>
      <w:pPr>
        <w:jc w:val="both"/>
      </w:pPr>
      <w:r>
        <w:rPr>
          <w:b/>
          <w:i w:val="0"/>
        </w:rPr>
        <w:t>Pontos críticos:</w:t>
      </w:r>
    </w:p>
    <w:p>
      <w:pPr>
        <w:pStyle w:val="ListBullet"/>
      </w:pPr>
      <w:r>
        <w:t>Saldo credor da CBS em 31/12/2026 desconsiderado (art. 465);</w:t>
      </w:r>
    </w:p>
    <w:p>
      <w:pPr>
        <w:pStyle w:val="ListBullet"/>
      </w:pPr>
      <w:r>
        <w:t>Inventário em 31/12/2026 obrigatório para apropriação do crédito presumido (art. 605 a 611);</w:t>
      </w:r>
    </w:p>
    <w:p>
      <w:pPr>
        <w:pStyle w:val="ListBullet"/>
      </w:pPr>
      <w:r>
        <w:t>Créditos remanescentes de PIS/COFINS preservados para utilização (art. 602 a 604);</w:t>
      </w:r>
    </w:p>
    <w:p>
      <w:pPr>
        <w:pStyle w:val="ListBullet"/>
      </w:pPr>
      <w:r>
        <w:t>Bens de capital e estoque na transição (art. 614 e 615);</w:t>
      </w:r>
    </w:p>
    <w:p>
      <w:pPr>
        <w:pStyle w:val="ListBullet"/>
      </w:pPr>
      <w:r>
        <w:t>Imóveis com regimes opcionais transitórios (art. 461 a 463) — opção irretratável.</w:t>
      </w:r>
    </w:p>
    <w:p>
      <w:pPr>
        <w:spacing w:before="360" w:after="160"/>
      </w:pPr>
      <w:r>
        <w:rPr>
          <w:b/>
          <w:color w:val="0B3D91"/>
          <w:sz w:val="40"/>
        </w:rPr>
        <w:t>10. Recomendações Finais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Empresas devem manter o DTE permanentemente monitorado e adotar postura preventiva nos atos do regime fiscal — a confissão tácita pela ausência de manifestação na apuração assistida (art. 46) e as presunções legais ampliam significativamente o risco de autuação. A adesão ao PNCT não é opcional sob a perspectiva de gestão de risco.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