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8"/>
        </w:rPr>
        <w:br/>
        <w:br/>
        <w:t>REFORMA TRIBUTÁRIA — CBS</w:t>
      </w:r>
    </w:p>
    <w:p>
      <w:pPr>
        <w:jc w:val="center"/>
      </w:pPr>
      <w:r>
        <w:rPr>
          <w:i/>
          <w:color w:val="595959"/>
          <w:sz w:val="26"/>
        </w:rPr>
        <w:t>Decreto nº 12.955, de 29 de abril de 2026</w:t>
      </w:r>
    </w:p>
    <w:p>
      <w:pPr>
        <w:jc w:val="center"/>
      </w:pPr>
      <w:r>
        <w:rPr>
          <w:b/>
          <w:color w:val="0B3D91"/>
          <w:sz w:val="56"/>
        </w:rPr>
        <w:br/>
        <w:br/>
        <w:t>Análise Setorial — Indústria</w:t>
        <w:br/>
      </w:r>
    </w:p>
    <w:p>
      <w:pPr>
        <w:jc w:val="center"/>
      </w:pPr>
      <w:r>
        <w:rPr>
          <w:color w:val="1F4E79"/>
          <w:sz w:val="28"/>
        </w:rPr>
        <w:t>Reforma Tributária — Impactos da CBS na Indústria de Transformação</w:t>
      </w:r>
    </w:p>
    <w:p/>
    <w:p/>
    <w:p/>
    <w:p/>
    <w:p/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Código do Documento</w:t>
            </w:r>
          </w:p>
        </w:tc>
        <w:tc>
          <w:tcPr>
            <w:tcW w:type="dxa" w:w="4844"/>
          </w:tcPr>
          <w:p>
            <w:r>
              <w:t>SETOR-01-Industria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Data de Elaboração</w:t>
            </w:r>
          </w:p>
        </w:tc>
        <w:tc>
          <w:tcPr>
            <w:tcW w:type="dxa" w:w="4844"/>
          </w:tcPr>
          <w:p>
            <w:r>
              <w:t>30/04/2026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Autor Técnico</w:t>
            </w:r>
          </w:p>
        </w:tc>
        <w:tc>
          <w:tcPr>
            <w:tcW w:type="dxa" w:w="4844"/>
          </w:tcPr>
          <w:p>
            <w:r>
              <w:t>ALLAN MARCIO — Consultor Tributário Sênior</w:t>
            </w:r>
          </w:p>
        </w:tc>
      </w:tr>
      <w:tr>
        <w:tc>
          <w:tcPr>
            <w:tcW w:type="dxa" w:w="4844"/>
          </w:tcPr>
          <w:p>
            <w:r>
              <w:rPr>
                <w:b/>
              </w:rPr>
              <w:t>Base Normativa</w:t>
            </w:r>
          </w:p>
        </w:tc>
        <w:tc>
          <w:tcPr>
            <w:tcW w:type="dxa" w:w="4844"/>
          </w:tcPr>
          <w:p>
            <w:r>
              <w:t>LC 214/2025; Decreto nº 12.955/2026; EC 132/2023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b/>
          <w:color w:val="0B3D91"/>
          <w:sz w:val="40"/>
        </w:rPr>
        <w:t>1. Contexto Setorial — Indústria</w:t>
      </w:r>
    </w:p>
    <w:p>
      <w:pPr>
        <w:jc w:val="both"/>
      </w:pPr>
      <w:r>
        <w:rPr>
          <w:b w:val="0"/>
          <w:i w:val="0"/>
        </w:rPr>
        <w:t>A indústria de transformação concentra parte significativa dos efeitos do novo modelo de tributação sobre o consumo. A CBS substituirá PIS e COFINS, com mecânica de não cumulatividade ampla (art. 47 a 64 do Decreto), ampliando o direito a crédito para insumos, energia, manutenção e serviços técnicos vinculados ao processo produtivo. Em contrapartida, há novos requisitos para identificação fiscal de produtos (NCM, NBS, código GTIN, classificação no NUC quando aplicável) e exigência de revisão integral de cadastro de itens, fornecedores, contratos e operações.</w:t>
      </w:r>
    </w:p>
    <w:p>
      <w:pPr>
        <w:spacing w:before="240" w:after="120"/>
      </w:pPr>
      <w:r>
        <w:rPr>
          <w:b/>
          <w:color w:val="1F4E79"/>
          <w:sz w:val="30"/>
        </w:rPr>
        <w:t>2. Bloco A — Resumo Executivo</w:t>
      </w:r>
    </w:p>
    <w:p>
      <w:pPr>
        <w:jc w:val="both"/>
      </w:pPr>
      <w:r>
        <w:rPr>
          <w:b w:val="0"/>
          <w:i w:val="0"/>
        </w:rPr>
        <w:t>O Decreto nº 12.955/2026, regulamentando a Lei Complementar nº 214/2025, redefine integralmente o tratamento da Contribuição Social sobre Bens e Serviços (CBS) aplicável ao setor de Indústria. As alterações afetam diretamente cadastro fiscal, formação de preços, gestão de créditos, parametrização do ERP, emissão de documentos fiscais e governança tributária. Em razão da convivência transitória com PIS, COFINS, ICMS e ISS, o setor deverá manter dois ambientes paralelos de apuração ao longo de 2026.</w:t>
      </w:r>
    </w:p>
    <w:p>
      <w:pPr>
        <w:spacing w:before="240" w:after="120"/>
      </w:pPr>
      <w:r>
        <w:rPr>
          <w:b/>
          <w:color w:val="1F4E79"/>
          <w:sz w:val="30"/>
        </w:rPr>
        <w:t>3. Bloco B — Base Legal Aplicável</w:t>
      </w:r>
    </w:p>
    <w:p>
      <w:pPr>
        <w:pStyle w:val="ListBullet"/>
      </w:pPr>
      <w:r>
        <w:t>Constituição Federal — art. 156-A e art. 195, V (EC 132/2023);</w:t>
      </w:r>
    </w:p>
    <w:p>
      <w:pPr>
        <w:pStyle w:val="ListBullet"/>
      </w:pPr>
      <w:r>
        <w:t>Lei Complementar nº 214/2025 — institui CBS, IBS e Imposto Seletivo;</w:t>
      </w:r>
    </w:p>
    <w:p>
      <w:pPr>
        <w:pStyle w:val="ListBullet"/>
      </w:pPr>
      <w:r>
        <w:t>Decreto nº 12.955, de 29 de abril de 2026 — regulamenta a CBS;</w:t>
      </w:r>
    </w:p>
    <w:p>
      <w:pPr>
        <w:pStyle w:val="ListBullet"/>
      </w:pPr>
      <w:r>
        <w:t>Atos complementares da RFB e do Comitê Gestor (em emissão);</w:t>
      </w:r>
    </w:p>
    <w:p>
      <w:pPr>
        <w:spacing w:before="240" w:after="120"/>
      </w:pPr>
      <w:r>
        <w:rPr>
          <w:b/>
          <w:color w:val="1F4E79"/>
          <w:sz w:val="30"/>
        </w:rPr>
        <w:t>4. Bloco C — Principais Alterações para o Setor</w:t>
      </w:r>
    </w:p>
    <w:p>
      <w:pPr>
        <w:pStyle w:val="ListBullet"/>
      </w:pPr>
      <w:r>
        <w:t>Substituição de PIS e COFINS pela CBS — alíquota-teste de 0,9% em 2026;</w:t>
      </w:r>
    </w:p>
    <w:p>
      <w:pPr>
        <w:pStyle w:val="ListBullet"/>
      </w:pPr>
      <w:r>
        <w:t>Crédito amplo de CBS sobre insumos, ativos imobilizados e serviços vinculados (art. 47 a 64);</w:t>
      </w:r>
    </w:p>
    <w:p>
      <w:pPr>
        <w:pStyle w:val="ListBullet"/>
      </w:pPr>
      <w:r>
        <w:t>Manutenção do IPI em alíquota zero, salvo produtos da ZFM (art. 5º da LC 214/2025);</w:t>
      </w:r>
    </w:p>
    <w:p>
      <w:pPr>
        <w:pStyle w:val="ListBullet"/>
      </w:pPr>
      <w:r>
        <w:t>Adoção do split payment para operações com bens e serviços (art. 28 a 35);</w:t>
      </w:r>
    </w:p>
    <w:p>
      <w:pPr>
        <w:pStyle w:val="ListBullet"/>
      </w:pPr>
      <w:r>
        <w:t>Novos campos obrigatórios na NF-e (CST CBS, código de classificação, código de regime);</w:t>
      </w:r>
    </w:p>
    <w:p>
      <w:pPr>
        <w:pStyle w:val="ListBullet"/>
      </w:pPr>
      <w:r>
        <w:t>Revisão de regimes especiais e suspensões (drawback, REPETRO, RECAP, REPORTO);</w:t>
      </w:r>
    </w:p>
    <w:p>
      <w:pPr>
        <w:pStyle w:val="ListBullet"/>
      </w:pPr>
      <w:r>
        <w:t>Imposto Seletivo aplicável a bens prejudiciais à saúde e ao meio ambiente (art. 396 a 402);</w:t>
      </w:r>
    </w:p>
    <w:p>
      <w:pPr>
        <w:spacing w:before="240" w:after="120"/>
      </w:pPr>
      <w:r>
        <w:rPr>
          <w:b/>
          <w:color w:val="1F4E79"/>
          <w:sz w:val="30"/>
        </w:rPr>
        <w:t>5. Bloco D — Impactos Operacionais por Área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3230"/>
            <w:shd w:val="clear" w:color="auto" w:fill="0B3D91"/>
          </w:tcPr>
          <w:p>
            <w:r/>
            <w:r>
              <w:rPr>
                <w:b/>
                <w:color w:val="FFFFFF"/>
                <w:sz w:val="20"/>
              </w:rPr>
              <w:t>Criticidade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Cadastro de Itens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Reclassificação NCM/NBS, CST CBS e código de regime tributário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Compras / Suprimentos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Validação de fornecedores aptos a transferir crédito de CBS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Engenharia / PCP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Reanálise de estruturas de produto e custos com novos créditos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Média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Fiscal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Apuração paralela CBS x PIS/COFINS em 2026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TI / ERP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Adaptação de leiautes fiscais, cálculo, contábil e pagamentos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Crítica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Comercial / Pricing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Reformulação da política de preços com novo gross-up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3230"/>
          </w:tcPr>
          <w:p>
            <w:r/>
            <w:r>
              <w:rPr>
                <w:sz w:val="20"/>
              </w:rPr>
              <w:t>Contratos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Revisão de cláusulas tributárias, gross-up, repactuações</w:t>
            </w:r>
          </w:p>
        </w:tc>
        <w:tc>
          <w:tcPr>
            <w:tcW w:type="dxa" w:w="3230"/>
          </w:tcPr>
          <w:p>
            <w:r/>
            <w:r>
              <w:rPr>
                <w:sz w:val="20"/>
              </w:rPr>
              <w:t>Alta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6. Regimes Específicos e Diferenciados Aplicáveis</w:t>
      </w:r>
    </w:p>
    <w:p>
      <w:pPr>
        <w:jc w:val="both"/>
      </w:pPr>
      <w:r>
        <w:rPr>
          <w:b w:val="0"/>
          <w:i w:val="0"/>
        </w:rPr>
        <w:t>A indústria pode utilizar regimes aduaneiros especiais (art. 270 a 302 do Decreto), suspensão para produtores rurais e estabelecimentos vinculados ao agronegócio, ZPE, REPETRO e REPORTO. Há regras específicas para insumos importados, drawback e reexportação. Indústrias de combustíveis, bebidas, fumo e veículos sujeitam-se a regimes específicos e podem ser alcançadas pelo Imposto Seletivo.</w:t>
      </w:r>
    </w:p>
    <w:p>
      <w:pPr>
        <w:spacing w:before="240" w:after="120"/>
      </w:pPr>
      <w:r>
        <w:rPr>
          <w:b/>
          <w:color w:val="1F4E79"/>
          <w:sz w:val="30"/>
        </w:rPr>
        <w:t>7. Bloco E — Exemplo Prático Aplicado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DDEBF7"/>
          </w:tcPr>
          <w:p>
            <w:r/>
            <w:r>
              <w:rPr>
                <w:b/>
                <w:sz w:val="20"/>
              </w:rPr>
              <w:t>ℹ INFORMAÇÃO TÉCNICA</w:t>
            </w:r>
          </w:p>
          <w:p>
            <w:r>
              <w:rPr>
                <w:sz w:val="22"/>
              </w:rPr>
              <w:t>Indústria adquire matéria-prima por R$ 100.000,00. Em 2026 (alíquota-teste 0,9% CBS), a NF-e do fornecedor destacará CBS de R$ 900,00, gerando crédito integral. Na venda do produto acabado por R$ 200.000,00, há débito de CBS de R$ 1.800,00. Crédito apropriado: R$ 900,00. Saldo devedor: R$ 900,00. PIS/COFINS continuam apurados em paralelo, com compensação prevista de até 100% pelo PIS/COFINS pagos.</w:t>
            </w:r>
          </w:p>
        </w:tc>
      </w:tr>
    </w:tbl>
    <w:p/>
    <w:p>
      <w:pPr>
        <w:spacing w:before="240" w:after="120"/>
      </w:pPr>
      <w:r>
        <w:rPr>
          <w:b/>
          <w:color w:val="1F4E79"/>
          <w:sz w:val="30"/>
        </w:rPr>
        <w:t>8. Pontos de Risco e Atenção</w:t>
      </w:r>
    </w:p>
    <w:p>
      <w:pPr>
        <w:pStyle w:val="ListBullet"/>
      </w:pPr>
      <w:r>
        <w:t>Risco de glosa de crédito por divergência de classificação fiscal;</w:t>
      </w:r>
    </w:p>
    <w:p>
      <w:pPr>
        <w:pStyle w:val="ListBullet"/>
      </w:pPr>
      <w:r>
        <w:t>Inadequação do ERP para apuração simultânea CBS x PIS/COFINS;</w:t>
      </w:r>
    </w:p>
    <w:p>
      <w:pPr>
        <w:pStyle w:val="ListBullet"/>
      </w:pPr>
      <w:r>
        <w:t>Falha na parametrização de regimes específicos pode gerar autuação;</w:t>
      </w:r>
    </w:p>
    <w:p>
      <w:pPr>
        <w:pStyle w:val="ListBullet"/>
      </w:pPr>
      <w:r>
        <w:t>Repactuação contratual incompleta pode resultar em perda de margem;</w:t>
      </w:r>
    </w:p>
    <w:p>
      <w:pPr>
        <w:pStyle w:val="ListBullet"/>
      </w:pPr>
      <w:r>
        <w:t>Erro na aplicação do split payment compromete fluxo de caixa;</w:t>
      </w:r>
    </w:p>
    <w:p>
      <w:pPr>
        <w:spacing w:before="240" w:after="120"/>
      </w:pPr>
      <w:r>
        <w:rPr>
          <w:b/>
          <w:color w:val="1F4E79"/>
          <w:sz w:val="30"/>
        </w:rPr>
        <w:t>9. Bloco F — Plano de Ação Recomendado</w:t>
      </w:r>
    </w:p>
    <w:p>
      <w:pPr>
        <w:pStyle w:val="ListNumber"/>
      </w:pPr>
      <w:r>
        <w:t>Constituir Comitê Tributário Reforma com fiscal, TI, suprimentos, comercial e jurídico;</w:t>
      </w:r>
    </w:p>
    <w:p>
      <w:pPr>
        <w:pStyle w:val="ListNumber"/>
      </w:pPr>
      <w:r>
        <w:t>Mapear 100% do cadastro de itens e fornecedores até 30/06/2026;</w:t>
      </w:r>
    </w:p>
    <w:p>
      <w:pPr>
        <w:pStyle w:val="ListNumber"/>
      </w:pPr>
      <w:r>
        <w:t>Adequar parametrização do ERP até 31/08/2026, com testes integrados;</w:t>
      </w:r>
    </w:p>
    <w:p>
      <w:pPr>
        <w:pStyle w:val="ListNumber"/>
      </w:pPr>
      <w:r>
        <w:t>Treinar áreas-chave (compras, fiscal, comercial, contratos) em CBS e split payment;</w:t>
      </w:r>
    </w:p>
    <w:p>
      <w:pPr>
        <w:pStyle w:val="ListNumber"/>
      </w:pPr>
      <w:r>
        <w:t>Elaborar política de gestão de créditos e calendário de apuração paralela;</w:t>
      </w:r>
    </w:p>
    <w:p>
      <w:pPr>
        <w:pStyle w:val="ListNumber"/>
      </w:pPr>
      <w:r>
        <w:t>Revisar contratos de fornecimento e venda com cláusula de gross-up CBS;</w:t>
      </w:r>
    </w:p>
    <w:p>
      <w:pPr>
        <w:pStyle w:val="ListNumber"/>
      </w:pPr>
      <w:r>
        <w:t>Implantar painel de monitoramento mensal CBS — KPIs de crédito, débito e saldo;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2CC"/>
          </w:tcPr>
          <w:p>
            <w:r/>
            <w:r>
              <w:rPr>
                <w:b/>
                <w:sz w:val="20"/>
              </w:rPr>
              <w:t>⚠ ATENÇÃO</w:t>
            </w:r>
          </w:p>
          <w:p>
            <w:r>
              <w:rPr>
                <w:sz w:val="22"/>
              </w:rPr>
              <w:t>Diversos dispositivos do Decreto nº 12.955/2026 exigem atos complementares da RFB ou do Comitê Gestor para plena operacionalização. Recomenda-se acompanhamento contínuo da regulamentação durante 2026.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595959"/>
          <w:sz w:val="18"/>
        </w:rPr>
        <w:t>Documento técnico elaborado com base no Decreto nº 12.955, de 29/04/2026.</w:t>
        <w:br/>
      </w:r>
      <w:r>
        <w:rPr>
          <w:i/>
          <w:color w:val="595959"/>
          <w:sz w:val="18"/>
        </w:rPr>
        <w:t>Sujeito a ajustes em razão de atos normativos complementares (RFB/CGIBS) ainda pendentes de publicação.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