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Varejo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Comércio Varejista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SETOR-02-Varejo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Varejo</w:t>
      </w:r>
    </w:p>
    <w:p>
      <w:pPr>
        <w:jc w:val="both"/>
      </w:pPr>
      <w:r>
        <w:rPr>
          <w:b w:val="0"/>
          <w:i w:val="0"/>
        </w:rPr>
        <w:t>O varejo opera com alto volume de NF-e/NFC-e, ampla diversidade de SKUs e elevada sensibilidade na formação de preço final ao consumidor. A CBS impõe ao varejo a transparência tributária no documento fiscal (art. 7º da LC 214/2025), o cálculo por fora e a integração com o split payment. Produtos da cesta básica (Anexo I) são tributados à alíquota zero; demais itens da cesta básica estendida possuem redução de 60%.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Varejo.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Tributação por fora — base de cálculo será o valor da operação líquido de tributos (art. 12);</w:t>
      </w:r>
    </w:p>
    <w:p>
      <w:pPr>
        <w:pStyle w:val="ListBullet"/>
      </w:pPr>
      <w:r>
        <w:t>Cesta básica nacional — alíquota zero para itens listados no Anexo I (art. 142);</w:t>
      </w:r>
    </w:p>
    <w:p>
      <w:pPr>
        <w:pStyle w:val="ListBullet"/>
      </w:pPr>
      <w:r>
        <w:t>Cashback automático para famílias do CadÚnico em compras de luz, gás, água e gêneros alimentícios (art. 492 a 514);</w:t>
      </w:r>
    </w:p>
    <w:p>
      <w:pPr>
        <w:pStyle w:val="ListBullet"/>
      </w:pPr>
      <w:r>
        <w:t>Split payment obrigatório para operações com cartões e meios eletrônicos (art. 31);</w:t>
      </w:r>
    </w:p>
    <w:p>
      <w:pPr>
        <w:pStyle w:val="ListBullet"/>
      </w:pPr>
      <w:r>
        <w:t>Substituição tributária extinta — passa-se ao crédito amplo;</w:t>
      </w:r>
    </w:p>
    <w:p>
      <w:pPr>
        <w:pStyle w:val="ListBullet"/>
      </w:pPr>
      <w:r>
        <w:t>Obrigatoriedade de demonstração da carga tributária no cupom fiscal (art. 18);</w:t>
      </w:r>
    </w:p>
    <w:p>
      <w:pPr>
        <w:pStyle w:val="ListBullet"/>
      </w:pPr>
      <w:r>
        <w:t>Integração com o aplicativo do consumidor (cashback/CGIBS);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Itens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Reclassificação tributária de SKUs (cesta básica, regimes diferenciados)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PDV / Frente de Caixa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Atualização para split payment e demonstração tributária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Pricing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Recalibração de preços de prateleira (gross-up CBS)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E-commerce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Tratamento de fretes, devoluções e marketplaces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Logística / Transferência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Definição de tratamento de transferências interestaduais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Compras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Avaliação de crédito de CBS por fornecedor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do split payment com adquirentes (Visa, Master, Pix)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Varejo de alimentos é fortemente impactado pela cesta básica (alíquota zero) e pela cesta básica estendida (-60%). Combustíveis e bebidas alcoólicas seguem regimes específicos (art. 169 a 219). Varejo farmacêutico tem produtos com redução de 60% (medicamentos listados no Anexo XV). Empresas optantes pelo Simples Nacional podem optar pelo regime regular para fins de transferência de crédito ao adquirente (art. 41).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Supermercado vende cesta de produtos por R$ 1.000,00, dos quais R$ 400,00 são da cesta básica nacional (alíquota zero) e R$ 600,00 sujeitos à CBS de 0,9% em 2026. CBS devida: R$ 5,40. Cliente CadÚnico recebe cashback de até 100% sobre componentes da cesta básica adquiridos. Cupom fiscal demonstra: tributo total incidente, valor sem CBS, valor da cesta básica zerada e benefício de cashback aplicado.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Erro na classificação de itens pode comprometer benefício da cesta básica;</w:t>
      </w:r>
    </w:p>
    <w:p>
      <w:pPr>
        <w:pStyle w:val="ListBullet"/>
      </w:pPr>
      <w:r>
        <w:t>PDV não preparado para split payment trava a operação;</w:t>
      </w:r>
    </w:p>
    <w:p>
      <w:pPr>
        <w:pStyle w:val="ListBullet"/>
      </w:pPr>
      <w:r>
        <w:t>Devoluções e trocas exigem nova rotina de estorno de CBS;</w:t>
      </w:r>
    </w:p>
    <w:p>
      <w:pPr>
        <w:pStyle w:val="ListBullet"/>
      </w:pPr>
      <w:r>
        <w:t>Demonstração incorreta da carga tributária no cupom é infração;</w:t>
      </w:r>
    </w:p>
    <w:p>
      <w:pPr>
        <w:pStyle w:val="ListBullet"/>
      </w:pPr>
      <w:r>
        <w:t>Marketplaces como responsáveis solidários podem reter CBS na origem;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Mapear o catálogo (todos os SKUs) e classificar por regime CBS até 30/06/2026;</w:t>
      </w:r>
    </w:p>
    <w:p>
      <w:pPr>
        <w:pStyle w:val="ListNumber"/>
      </w:pPr>
      <w:r>
        <w:t>Atualizar o sistema de PDV para emissão da NFC-e com CBS e split payment;</w:t>
      </w:r>
    </w:p>
    <w:p>
      <w:pPr>
        <w:pStyle w:val="ListNumber"/>
      </w:pPr>
      <w:r>
        <w:t>Definir governança de pricing com ajuste de tabela e gross-up;</w:t>
      </w:r>
    </w:p>
    <w:p>
      <w:pPr>
        <w:pStyle w:val="ListNumber"/>
      </w:pPr>
      <w:r>
        <w:t>Negociar com adquirentes (cartões/Pix) o protocolo de split payment;</w:t>
      </w:r>
    </w:p>
    <w:p>
      <w:pPr>
        <w:pStyle w:val="ListNumber"/>
      </w:pPr>
      <w:r>
        <w:t>Implantar rotina de devoluções com estorno automático de crédito;</w:t>
      </w:r>
    </w:p>
    <w:p>
      <w:pPr>
        <w:pStyle w:val="ListNumber"/>
      </w:pPr>
      <w:r>
        <w:t>Treinar gerentes de loja e equipe de PDV em demonstração tributária;</w:t>
      </w:r>
    </w:p>
    <w:p>
      <w:pPr>
        <w:pStyle w:val="ListNumber"/>
      </w:pPr>
      <w:r>
        <w:t>Configurar painel diário de apuração CBS por loja;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