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Atacado / Distribuição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Atacado e Distribuição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SETOR-03-Atacado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Atacado / Distribuição</w:t>
      </w:r>
    </w:p>
    <w:p>
      <w:pPr>
        <w:jc w:val="both"/>
      </w:pPr>
      <w:r>
        <w:rPr>
          <w:b w:val="0"/>
          <w:i w:val="0"/>
        </w:rPr>
        <w:t>O atacado atua como elo intermediário entre indústria e varejo. Com a extinção da substituição tributária, o regime passa a ser de crédito amplo e débito por operação. O setor terá ganho potencial em margens (eliminação de cumulatividade) mas precisará revisar estoque, créditos retroativos e contratos de fornecimento. Há grande volume de transferências entre filiais — operação que sob a CBS é não tributada (art. 5º LC 214/2025), porém exige rastreabilidade do crédito.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Atacado / Distribuição.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Extinção da substituição tributária — apuração débito/crédito;</w:t>
      </w:r>
    </w:p>
    <w:p>
      <w:pPr>
        <w:pStyle w:val="ListBullet"/>
      </w:pPr>
      <w:r>
        <w:t>Transferência entre estabelecimentos do mesmo titular não gera CBS, mas mantém o crédito (art. 5º LC 214/2025);</w:t>
      </w:r>
    </w:p>
    <w:p>
      <w:pPr>
        <w:pStyle w:val="ListBullet"/>
      </w:pPr>
      <w:r>
        <w:t>Crédito imediato sobre estoque inicial em 2026 (regra de transição — Anexo XX, fase 1);</w:t>
      </w:r>
    </w:p>
    <w:p>
      <w:pPr>
        <w:pStyle w:val="ListBullet"/>
      </w:pPr>
      <w:r>
        <w:t>Tratamento de bonificações e descontos comerciais (art. 89 e 91);</w:t>
      </w:r>
    </w:p>
    <w:p>
      <w:pPr>
        <w:pStyle w:val="ListBullet"/>
      </w:pPr>
      <w:r>
        <w:t>Devoluções geram estorno de crédito;</w:t>
      </w:r>
    </w:p>
    <w:p>
      <w:pPr>
        <w:pStyle w:val="ListBullet"/>
      </w:pPr>
      <w:r>
        <w:t>Comissões e fretes integram a base de cálculo da operação;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Logística / Transferência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Controle de operações entre filiais sem CBS, com crédito mantido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Repactuação de descontos, bonificações e prazos de pagamento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Estoque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Levantamento físico para apropriação de crédito de transição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Eliminação da substituição tributária — revisão de processos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Financeiro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Reanálise de margem por canal de venda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TI / ERP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Eliminação de cálculos de ST e ajustes na escrituração fiscal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Atacado de combustíveis sujeita-se ao regime monofásico do art. 169 a 200. Atacado de bebidas alcoólicas tem regime específico do art. 220 a 244. Atacadistas que destinam produtos a contribuintes do Simples Nacional precisam emitir NF-e com CBS destacada, sob pena de não permitir o crédito ao adquirente (art. 41 da LC 214/2025).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Atacadista compra produto da indústria por R$ 1.000,00, com CBS destacada de R$ 9,00 (0,9% — alíquota-teste 2026), gerando crédito. Vende ao varejista por R$ 1.200,00, com débito de CBS de R$ 10,80. Saldo devedor: R$ 1,80. Em transferência entre filiais, valor R$ 800,00, não há débito de CBS — porém o crédito de R$ 7,20 acompanha a operação, sendo apropriado pelo estabelecimento destinatário, em sistemática equivalente à atual de ICMS interestadual.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Estoque sem rastreabilidade compromete crédito de transição;</w:t>
      </w:r>
    </w:p>
    <w:p>
      <w:pPr>
        <w:pStyle w:val="ListBullet"/>
      </w:pPr>
      <w:r>
        <w:t>Bonificações comerciais mal classificadas são autuadas como descontos não condicionais;</w:t>
      </w:r>
    </w:p>
    <w:p>
      <w:pPr>
        <w:pStyle w:val="ListBullet"/>
      </w:pPr>
      <w:r>
        <w:t>Transferências sem documentação adequada inviabilizam o crédito;</w:t>
      </w:r>
    </w:p>
    <w:p>
      <w:pPr>
        <w:pStyle w:val="ListBullet"/>
      </w:pPr>
      <w:r>
        <w:t>Devoluções tardias geram glosa do estorno de crédito;</w:t>
      </w:r>
    </w:p>
    <w:p>
      <w:pPr>
        <w:pStyle w:val="ListBullet"/>
      </w:pPr>
      <w:r>
        <w:t>Fim da ST exige reformulação da política de pricing escalonada;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Inventário físico-fiscal completo até 31/12/2025 para crédito de transição;</w:t>
      </w:r>
    </w:p>
    <w:p>
      <w:pPr>
        <w:pStyle w:val="ListNumber"/>
      </w:pPr>
      <w:r>
        <w:t>Capacitar comercial sobre nova mecânica de bonificação/desconto;</w:t>
      </w:r>
    </w:p>
    <w:p>
      <w:pPr>
        <w:pStyle w:val="ListNumber"/>
      </w:pPr>
      <w:r>
        <w:t>Reparametrizar TMS/WMS para rastrear transferências e crédito vinculado;</w:t>
      </w:r>
    </w:p>
    <w:p>
      <w:pPr>
        <w:pStyle w:val="ListNumber"/>
      </w:pPr>
      <w:r>
        <w:t>Revisar contratos com indústria e varejo para alinhar repasses de CBS;</w:t>
      </w:r>
    </w:p>
    <w:p>
      <w:pPr>
        <w:pStyle w:val="ListNumber"/>
      </w:pPr>
      <w:r>
        <w:t>Implantar relatório mensal de saldo credor para gestão de caixa;</w:t>
      </w:r>
    </w:p>
    <w:p>
      <w:pPr>
        <w:pStyle w:val="ListNumber"/>
      </w:pPr>
      <w:r>
        <w:t>Reduzir gradualmente parametrizações de ST conforme cronograma de transição;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