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Serviços Gerais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em Empresas de Serviços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SETOR-04-Servicos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Serviços Gerais</w:t>
      </w:r>
    </w:p>
    <w:p>
      <w:pPr>
        <w:jc w:val="both"/>
      </w:pPr>
      <w:r>
        <w:rPr>
          <w:b w:val="0"/>
          <w:i w:val="0"/>
        </w:rPr>
        <w:t>Empresas de serviços historicamente tributadas pelo ISS municipal e PIS/COFINS cumulativo (Lucro Presumido) experimentarão o maior impacto relativo da reforma. A migração para CBS não cumulativa implica em ganho estrutural de créditos, mas elevação da carga aparente, especialmente em operações B2C. O setor demandará ajuste imediato de preços, revisão contratual e reclassificação de naturezas de serviço (NBS — Nomenclatura Brasileira de Serviços), conforme art. 8º do Decreto.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Serviços Gerais.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CBS substitui PIS e COFINS — empresas de Lucro Presumido perdem regime cumulativo de 3,65%;</w:t>
      </w:r>
    </w:p>
    <w:p>
      <w:pPr>
        <w:pStyle w:val="ListBullet"/>
      </w:pPr>
      <w:r>
        <w:t>Aproveitamento amplo de crédito sobre insumos, locação, software, consultoria e despesas gerais;</w:t>
      </w:r>
    </w:p>
    <w:p>
      <w:pPr>
        <w:pStyle w:val="ListBullet"/>
      </w:pPr>
      <w:r>
        <w:t>Migração da classificação de itens — uso obrigatório da NBS;</w:t>
      </w:r>
    </w:p>
    <w:p>
      <w:pPr>
        <w:pStyle w:val="ListBullet"/>
      </w:pPr>
      <w:r>
        <w:t>Possível aumento da carga sobre serviços B2C com público pessoa física;</w:t>
      </w:r>
    </w:p>
    <w:p>
      <w:pPr>
        <w:pStyle w:val="ListBullet"/>
      </w:pPr>
      <w:r>
        <w:t>Imunidade reduz alíquota em 60% para serviços de educação, saúde, transporte coletivo e cultura;</w:t>
      </w:r>
    </w:p>
    <w:p>
      <w:pPr>
        <w:pStyle w:val="ListBullet"/>
      </w:pPr>
      <w:r>
        <w:t>Profissionais liberais e SCP têm regime específico (art. 245 a 269);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Revisão de tabelas, contratos e propostas comerciais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Serviços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Reclassificação para NBS e regimes diferenciados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Reanálise de margem com novo crédito amplo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Ajuste de cláusulas tributárias e gross-up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RH / Folha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Reflexos em terceirização e contratos PJ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Adoção de novos códigos NBS e cálculo CBS por fora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Serviços com regime de redução de 60%: educação (art. 460), saúde (art. 463), transporte coletivo de passageiros (art. 471), produções artísticas, culturais e jornalísticas (art. 477). Profissionais intelectuais regulamentados (advogados, médicos, contadores, engenheiros, arquitetos) podem aplicar redução de 30% (art. 261). Sociedades em conta de participação têm tratamento específico no art. 268.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Consultoria de tecnologia (Lucro Presumido) presta serviço por R$ 100.000,00. Em 2026 (alíquota-teste 0,9% CBS), deve destacar CBS de R$ 900,00. Apropria créditos sobre licenças (R$ 5.000), aluguel (R$ 3.000) e energia (R$ 500), gerando crédito total de R$ 76,50. Saldo devedor: R$ 823,50. Adicionalmente continua apurando PIS/COFINS no regime cumulativo em 2026 (3,65%) — totalizando R$ 3.650,00 em paralelo, com mecanismo de compensação previsto na transição.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Empresas no Lucro Presumido sem revisão tributária podem ter sua margem comprimida;</w:t>
      </w:r>
    </w:p>
    <w:p>
      <w:pPr>
        <w:pStyle w:val="ListBullet"/>
      </w:pPr>
      <w:r>
        <w:t>Contratos vigentes sem cláusula de repasse podem absorver a CBS;</w:t>
      </w:r>
    </w:p>
    <w:p>
      <w:pPr>
        <w:pStyle w:val="ListBullet"/>
      </w:pPr>
      <w:r>
        <w:t>Classificação NBS incorreta gera glosa de crédito ao tomador;</w:t>
      </w:r>
    </w:p>
    <w:p>
      <w:pPr>
        <w:pStyle w:val="ListBullet"/>
      </w:pPr>
      <w:r>
        <w:t>Subcontratação não documentada perde direito a crédito;</w:t>
      </w:r>
    </w:p>
    <w:p>
      <w:pPr>
        <w:pStyle w:val="ListBullet"/>
      </w:pPr>
      <w:r>
        <w:t>Profissionais liberais podem ter dúvidas quanto à opção pelo regime específico;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Diagnóstico tributário com análise de margem por linha de serviço;</w:t>
      </w:r>
    </w:p>
    <w:p>
      <w:pPr>
        <w:pStyle w:val="ListNumber"/>
      </w:pPr>
      <w:r>
        <w:t>Revisar e reclassificar todos os serviços conforme NBS (até 30/06/2026);</w:t>
      </w:r>
    </w:p>
    <w:p>
      <w:pPr>
        <w:pStyle w:val="ListNumber"/>
      </w:pPr>
      <w:r>
        <w:t>Renegociar contratos de longo prazo com cláusula de repasse de CBS;</w:t>
      </w:r>
    </w:p>
    <w:p>
      <w:pPr>
        <w:pStyle w:val="ListNumber"/>
      </w:pPr>
      <w:r>
        <w:t>Avaliar opção pelo regime regular para empresas do Simples Nacional;</w:t>
      </w:r>
    </w:p>
    <w:p>
      <w:pPr>
        <w:pStyle w:val="ListNumber"/>
      </w:pPr>
      <w:r>
        <w:t>Treinar equipe comercial em formação de preço com CBS por fora;</w:t>
      </w:r>
    </w:p>
    <w:p>
      <w:pPr>
        <w:pStyle w:val="ListNumber"/>
      </w:pPr>
      <w:r>
        <w:t>Reparametrizar ERP para apuração CBS + PIS/COFINS em 2026;</w:t>
      </w:r>
    </w:p>
    <w:p>
      <w:pPr>
        <w:pStyle w:val="ListNumber"/>
      </w:pPr>
      <w:r>
        <w:t>Implementar relatório de gestão de créditos por centro de custo;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