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br/>
        <w:br/>
        <w:t>REFORMA TRIBUTÁRIA — CBS</w:t>
      </w:r>
    </w:p>
    <w:p>
      <w:pPr>
        <w:jc w:val="center"/>
      </w:pPr>
      <w:r>
        <w:rPr>
          <w:i/>
          <w:color w:val="595959"/>
          <w:sz w:val="26"/>
        </w:rPr>
        <w:t>Decreto nº 12.955, de 29 de abril de 2026</w:t>
      </w:r>
    </w:p>
    <w:p>
      <w:pPr>
        <w:jc w:val="center"/>
      </w:pPr>
      <w:r>
        <w:rPr>
          <w:b/>
          <w:color w:val="0B3D91"/>
          <w:sz w:val="56"/>
        </w:rPr>
        <w:br/>
        <w:br/>
        <w:t>Análise Setorial — Construção Civil e Incorporação Imobiliária</w:t>
        <w:br/>
      </w:r>
    </w:p>
    <w:p>
      <w:pPr>
        <w:jc w:val="center"/>
      </w:pPr>
      <w:r>
        <w:rPr>
          <w:color w:val="1F4E79"/>
          <w:sz w:val="28"/>
        </w:rPr>
        <w:t>Reforma Tributária — Impactos da CBS no Setor Imobiliário e Construção</w:t>
      </w:r>
    </w:p>
    <w:p/>
    <w:p/>
    <w:p/>
    <w:p/>
    <w:p/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Código do Documento</w:t>
            </w:r>
          </w:p>
        </w:tc>
        <w:tc>
          <w:tcPr>
            <w:tcW w:type="dxa" w:w="4844"/>
          </w:tcPr>
          <w:p>
            <w:r>
              <w:t>SETOR-05-Construcao-Imobiliaria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Data de Elaboração</w:t>
            </w:r>
          </w:p>
        </w:tc>
        <w:tc>
          <w:tcPr>
            <w:tcW w:type="dxa" w:w="4844"/>
          </w:tcPr>
          <w:p>
            <w:r>
              <w:t>30/04/2026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Autor Técnico</w:t>
            </w:r>
          </w:p>
        </w:tc>
        <w:tc>
          <w:tcPr>
            <w:tcW w:type="dxa" w:w="4844"/>
          </w:tcPr>
          <w:p>
            <w:r>
              <w:t>ALLAN MARCIO — Consultor Tributário Sênior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Base Normativa</w:t>
            </w:r>
          </w:p>
        </w:tc>
        <w:tc>
          <w:tcPr>
            <w:tcW w:type="dxa" w:w="4844"/>
          </w:tcPr>
          <w:p>
            <w:r>
              <w:t>LC 214/2025; Decreto nº 12.955/2026; EC 132/2023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b/>
          <w:color w:val="0B3D91"/>
          <w:sz w:val="40"/>
        </w:rPr>
        <w:t>1. Contexto Setorial — Construção Civil e Incorporação Imobiliária</w:t>
      </w:r>
    </w:p>
    <w:p>
      <w:pPr>
        <w:jc w:val="both"/>
      </w:pPr>
      <w:r>
        <w:rPr>
          <w:b w:val="0"/>
          <w:i w:val="0"/>
        </w:rPr>
        <w:t>O setor imobiliário possui regime específico previsto nos arts. 380 a 395 do Decreto nº 12.955/2026. Aplica-se redução de 50% na CBS sobre operações de venda e locação de imóveis, além de redução adicional de R$ 100.000,00 (PF) na base de cálculo de imóveis residenciais novos. Programas habitacionais (Minha Casa Minha Vida) têm alíquota zero. A construção civil mantém crédito amplo sobre insumos, mão de obra terceirizada e serviços de engenharia.</w:t>
      </w:r>
    </w:p>
    <w:p>
      <w:pPr>
        <w:spacing w:before="240" w:after="120"/>
      </w:pPr>
      <w:r>
        <w:rPr>
          <w:b/>
          <w:color w:val="1F4E79"/>
          <w:sz w:val="30"/>
        </w:rPr>
        <w:t>2. Bloco A — Resumo Executivo</w:t>
      </w:r>
    </w:p>
    <w:p>
      <w:pPr>
        <w:jc w:val="both"/>
      </w:pPr>
      <w:r>
        <w:rPr>
          <w:b w:val="0"/>
          <w:i w:val="0"/>
        </w:rPr>
        <w:t>O Decreto nº 12.955/2026, regulamentando a Lei Complementar nº 214/2025, redefine integralmente o tratamento da Contribuição Social sobre Bens e Serviços (CBS) aplicável ao setor de Construção Civil e Incorporação Imobiliária. As alterações afetam diretamente cadastro fiscal, formação de preços, gestão de créditos, parametrização do ERP, emissão de documentos fiscais e governança tributária. Em razão da convivência transitória com PIS, COFINS, ICMS e ISS, o setor deverá manter dois ambientes paralelos de apuração ao longo de 2026.</w:t>
      </w:r>
    </w:p>
    <w:p>
      <w:pPr>
        <w:spacing w:before="240" w:after="120"/>
      </w:pPr>
      <w:r>
        <w:rPr>
          <w:b/>
          <w:color w:val="1F4E79"/>
          <w:sz w:val="30"/>
        </w:rPr>
        <w:t>3. Bloco B — Base Legal Aplicável</w:t>
      </w:r>
    </w:p>
    <w:p>
      <w:pPr>
        <w:pStyle w:val="ListBullet"/>
      </w:pPr>
      <w:r>
        <w:t>Constituição Federal — art. 156-A e art. 195, V (EC 132/2023);</w:t>
      </w:r>
    </w:p>
    <w:p>
      <w:pPr>
        <w:pStyle w:val="ListBullet"/>
      </w:pPr>
      <w:r>
        <w:t>Lei Complementar nº 214/2025 — institui CBS, IBS e Imposto Seletivo;</w:t>
      </w:r>
    </w:p>
    <w:p>
      <w:pPr>
        <w:pStyle w:val="ListBullet"/>
      </w:pPr>
      <w:r>
        <w:t>Decreto nº 12.955, de 29 de abril de 2026 — regulamenta a CBS;</w:t>
      </w:r>
    </w:p>
    <w:p>
      <w:pPr>
        <w:pStyle w:val="ListBullet"/>
      </w:pPr>
      <w:r>
        <w:t>Atos complementares da RFB e do Comitê Gestor (em emissão);</w:t>
      </w:r>
    </w:p>
    <w:p>
      <w:pPr>
        <w:spacing w:before="240" w:after="120"/>
      </w:pPr>
      <w:r>
        <w:rPr>
          <w:b/>
          <w:color w:val="1F4E79"/>
          <w:sz w:val="30"/>
        </w:rPr>
        <w:t>4. Bloco C — Principais Alterações para o Setor</w:t>
      </w:r>
    </w:p>
    <w:p>
      <w:pPr>
        <w:pStyle w:val="ListBullet"/>
      </w:pPr>
      <w:r>
        <w:t>Redução de 50% nas operações com bens imóveis (art. 381);</w:t>
      </w:r>
    </w:p>
    <w:p>
      <w:pPr>
        <w:pStyle w:val="ListBullet"/>
      </w:pPr>
      <w:r>
        <w:t>Redutor de R$ 100.000,00 na venda de imóvel residencial novo a pessoa física (art. 384);</w:t>
      </w:r>
    </w:p>
    <w:p>
      <w:pPr>
        <w:pStyle w:val="ListBullet"/>
      </w:pPr>
      <w:r>
        <w:t>Alíquota zero para programas habitacionais de interesse social (art. 388);</w:t>
      </w:r>
    </w:p>
    <w:p>
      <w:pPr>
        <w:pStyle w:val="ListBullet"/>
      </w:pPr>
      <w:r>
        <w:t>Locação residencial — redutor de R$ 600,00 mensais (art. 389);</w:t>
      </w:r>
    </w:p>
    <w:p>
      <w:pPr>
        <w:pStyle w:val="ListBullet"/>
      </w:pPr>
      <w:r>
        <w:t>Construção por administração com tratamento próprio;</w:t>
      </w:r>
    </w:p>
    <w:p>
      <w:pPr>
        <w:pStyle w:val="ListBullet"/>
      </w:pPr>
      <w:r>
        <w:t>Crédito imediato sobre aquisição de terreno (art. 391);</w:t>
      </w:r>
    </w:p>
    <w:p>
      <w:pPr>
        <w:pStyle w:val="ListBullet"/>
      </w:pPr>
      <w:r>
        <w:t>Patrimônio de afetação mantém regime específico de apuração;</w:t>
      </w:r>
    </w:p>
    <w:p>
      <w:pPr>
        <w:spacing w:before="240" w:after="120"/>
      </w:pPr>
      <w:r>
        <w:rPr>
          <w:b/>
          <w:color w:val="1F4E79"/>
          <w:sz w:val="30"/>
        </w:rPr>
        <w:t>5. Bloco D — Impactos Operacionais por Área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Criticidade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Empreendimentos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Reanálise de viabilidade com nova carga tributária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Crítica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Cadastro de Imóveis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Identificação de natureza (residencial, comercial, MCMV)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Contratos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Revisão de cláusulas tributárias em contratos de longo prazo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Crítica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Compras / Suprimentos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Aproveitamento ampliado de crédito sobre insumos da obra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Comercial / Vendas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Adequação de tabelas e simuladores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Tesouraria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Gestão de fluxo financeiro com split payment em obras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Média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6. Regimes Específicos e Diferenciados Aplicáveis</w:t>
      </w:r>
    </w:p>
    <w:p>
      <w:pPr>
        <w:jc w:val="both"/>
      </w:pPr>
      <w:r>
        <w:rPr>
          <w:b w:val="0"/>
          <w:i w:val="0"/>
        </w:rPr>
        <w:t>Operações sob a Lei do Patrimônio de Afetação (Lei nº 10.931/2004) mantêm tratamento específico. Locação residencial possui redutor mensal. Construção para revenda enquadra-se no regime de incorporação. Construção sob administração utiliza regime de prestação de serviços. Para imóveis usados, o vendedor pessoa física não é contribuinte; já a venda por pessoa jurídica está sujeita à CBS com possível redução.</w:t>
      </w:r>
    </w:p>
    <w:p>
      <w:pPr>
        <w:spacing w:before="240" w:after="120"/>
      </w:pPr>
      <w:r>
        <w:rPr>
          <w:b/>
          <w:color w:val="1F4E79"/>
          <w:sz w:val="30"/>
        </w:rPr>
        <w:t>7. Bloco E — Exemplo Prático Aplicado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DDEBF7"/>
          </w:tcPr>
          <w:p>
            <w:r/>
            <w:r>
              <w:rPr>
                <w:b/>
                <w:sz w:val="20"/>
              </w:rPr>
              <w:t>ℹ INFORMAÇÃO TÉCNICA</w:t>
            </w:r>
          </w:p>
          <w:p>
            <w:r>
              <w:rPr>
                <w:sz w:val="22"/>
              </w:rPr>
              <w:t>Incorporadora vende apartamento residencial novo a pessoa física por R$ 600.000,00. Aplica-se: redução de 50% na alíquota (CBS efetiva = 0,45% em 2026); redutor de R$ 100.000,00 na base. Base ajustada: R$ 500.000,00. CBS devida: R$ 500.000 × 0,45% = R$ 2.250,00. Caso fosse imóvel residencial novo no âmbito do MCMV, alíquota seria zero. Créditos de CBS sobre insumos, mão de obra e projetos podem ser apropriados normalmente.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8. Pontos de Risco e Atenção</w:t>
      </w:r>
    </w:p>
    <w:p>
      <w:pPr>
        <w:pStyle w:val="ListBullet"/>
      </w:pPr>
      <w:r>
        <w:t>Contratos de incorporação anteriores à reforma podem ter desequilíbrio econômico-financeiro;</w:t>
      </w:r>
    </w:p>
    <w:p>
      <w:pPr>
        <w:pStyle w:val="ListBullet"/>
      </w:pPr>
      <w:r>
        <w:t>Incorrectness na natureza do imóvel (MCMV x não MCMV) gera autuação;</w:t>
      </w:r>
    </w:p>
    <w:p>
      <w:pPr>
        <w:pStyle w:val="ListBullet"/>
      </w:pPr>
      <w:r>
        <w:t>Locação não residencial não tem redutor — é tributada normalmente;</w:t>
      </w:r>
    </w:p>
    <w:p>
      <w:pPr>
        <w:pStyle w:val="ListBullet"/>
      </w:pPr>
      <w:r>
        <w:t>Permuta de imóveis pode ser equiparada à venda em determinadas situações;</w:t>
      </w:r>
    </w:p>
    <w:p>
      <w:pPr>
        <w:pStyle w:val="ListBullet"/>
      </w:pPr>
      <w:r>
        <w:t>Mudança de classificação fiscal do empreendimento durante a obra impacta crédito;</w:t>
      </w:r>
    </w:p>
    <w:p>
      <w:pPr>
        <w:spacing w:before="240" w:after="120"/>
      </w:pPr>
      <w:r>
        <w:rPr>
          <w:b/>
          <w:color w:val="1F4E79"/>
          <w:sz w:val="30"/>
        </w:rPr>
        <w:t>9. Bloco F — Plano de Ação Recomendado</w:t>
      </w:r>
    </w:p>
    <w:p>
      <w:pPr>
        <w:pStyle w:val="ListNumber"/>
      </w:pPr>
      <w:r>
        <w:t>Reavaliar viabilidade de empreendimentos em andamento com novo cálculo;</w:t>
      </w:r>
    </w:p>
    <w:p>
      <w:pPr>
        <w:pStyle w:val="ListNumber"/>
      </w:pPr>
      <w:r>
        <w:t>Mapear contratos vigentes e propor aditivos com cláusula tributária;</w:t>
      </w:r>
    </w:p>
    <w:p>
      <w:pPr>
        <w:pStyle w:val="ListNumber"/>
      </w:pPr>
      <w:r>
        <w:t>Adequar simuladores de venda e funil comercial à CBS;</w:t>
      </w:r>
    </w:p>
    <w:p>
      <w:pPr>
        <w:pStyle w:val="ListNumber"/>
      </w:pPr>
      <w:r>
        <w:t>Revisar política de aquisição de terreno e crédito imediato;</w:t>
      </w:r>
    </w:p>
    <w:p>
      <w:pPr>
        <w:pStyle w:val="ListNumber"/>
      </w:pPr>
      <w:r>
        <w:t>Treinar área jurídica e comercial em regimes do art. 380 a 395;</w:t>
      </w:r>
    </w:p>
    <w:p>
      <w:pPr>
        <w:pStyle w:val="ListNumber"/>
      </w:pPr>
      <w:r>
        <w:t>Implantar controle por empreendimento — receita, crédito e CBS efetiva;</w:t>
      </w:r>
    </w:p>
    <w:p>
      <w:pPr>
        <w:pStyle w:val="ListNumber"/>
      </w:pPr>
      <w:r>
        <w:t>Acompanhar regulamentação do Patrimônio de Afetação na CBS;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2CC"/>
          </w:tcPr>
          <w:p>
            <w:r/>
            <w:r>
              <w:rPr>
                <w:b/>
                <w:sz w:val="20"/>
              </w:rPr>
              <w:t>⚠ ATENÇÃO</w:t>
            </w:r>
          </w:p>
          <w:p>
            <w:r>
              <w:rPr>
                <w:sz w:val="22"/>
              </w:rPr>
              <w:t>Diversos dispositivos do Decreto nº 12.955/2026 exigem atos complementares da RFB ou do Comitê Gestor para plena operacionalização. Recomenda-se acompanhamento contínuo da regulamentação durante 2026.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595959"/>
          <w:sz w:val="18"/>
        </w:rPr>
        <w:t>Documento técnico elaborado com base no Decreto nº 12.955, de 29/04/2026.</w:t>
        <w:br/>
      </w:r>
      <w:r>
        <w:rPr>
          <w:i/>
          <w:color w:val="595959"/>
          <w:sz w:val="18"/>
        </w:rPr>
        <w:t>Sujeito a ajustes em razão de atos normativos complementares (RFB/CGIBS) ainda pendentes de publicação.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