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8"/>
        </w:rPr>
        <w:br/>
        <w:br/>
        <w:t>REFORMA TRIBUTÁRIA — CBS</w:t>
      </w:r>
    </w:p>
    <w:p>
      <w:pPr>
        <w:jc w:val="center"/>
      </w:pPr>
      <w:r>
        <w:rPr>
          <w:i/>
          <w:color w:val="595959"/>
          <w:sz w:val="26"/>
        </w:rPr>
        <w:t>Decreto nº 12.955, de 29 de abril de 2026</w:t>
      </w:r>
    </w:p>
    <w:p>
      <w:pPr>
        <w:jc w:val="center"/>
      </w:pPr>
      <w:r>
        <w:rPr>
          <w:b/>
          <w:color w:val="0B3D91"/>
          <w:sz w:val="56"/>
        </w:rPr>
        <w:br/>
        <w:br/>
        <w:t>Análise Setorial — Agronegócio</w:t>
        <w:br/>
      </w:r>
    </w:p>
    <w:p>
      <w:pPr>
        <w:jc w:val="center"/>
      </w:pPr>
      <w:r>
        <w:rPr>
          <w:color w:val="1F4E79"/>
          <w:sz w:val="28"/>
        </w:rPr>
        <w:t>Reforma Tributária — Impactos da CBS no Agronegócio</w:t>
      </w:r>
    </w:p>
    <w:p/>
    <w:p/>
    <w:p/>
    <w:p/>
    <w:p/>
    <w:p/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b/>
              </w:rPr>
              <w:t>Código do Documento</w:t>
            </w:r>
          </w:p>
        </w:tc>
        <w:tc>
          <w:tcPr>
            <w:tcW w:type="dxa" w:w="4844"/>
          </w:tcPr>
          <w:p>
            <w:r>
              <w:t>SETOR-06-Agronegocio</w:t>
            </w:r>
          </w:p>
        </w:tc>
      </w:tr>
      <w:tr>
        <w:tc>
          <w:tcPr>
            <w:tcW w:type="dxa" w:w="4844"/>
          </w:tcPr>
          <w:p>
            <w:r>
              <w:rPr>
                <w:b/>
              </w:rPr>
              <w:t>Data de Elaboração</w:t>
            </w:r>
          </w:p>
        </w:tc>
        <w:tc>
          <w:tcPr>
            <w:tcW w:type="dxa" w:w="4844"/>
          </w:tcPr>
          <w:p>
            <w:r>
              <w:t>30/04/2026</w:t>
            </w:r>
          </w:p>
        </w:tc>
      </w:tr>
      <w:tr>
        <w:tc>
          <w:tcPr>
            <w:tcW w:type="dxa" w:w="4844"/>
          </w:tcPr>
          <w:p>
            <w:r>
              <w:rPr>
                <w:b/>
              </w:rPr>
              <w:t>Autor Técnico</w:t>
            </w:r>
          </w:p>
        </w:tc>
        <w:tc>
          <w:tcPr>
            <w:tcW w:type="dxa" w:w="4844"/>
          </w:tcPr>
          <w:p>
            <w:r>
              <w:t>ALLAN MARCIO — Consultor Tributário Sênior</w:t>
            </w:r>
          </w:p>
        </w:tc>
      </w:tr>
      <w:tr>
        <w:tc>
          <w:tcPr>
            <w:tcW w:type="dxa" w:w="4844"/>
          </w:tcPr>
          <w:p>
            <w:r>
              <w:rPr>
                <w:b/>
              </w:rPr>
              <w:t>Base Normativa</w:t>
            </w:r>
          </w:p>
        </w:tc>
        <w:tc>
          <w:tcPr>
            <w:tcW w:type="dxa" w:w="4844"/>
          </w:tcPr>
          <w:p>
            <w:r>
              <w:t>LC 214/2025; Decreto nº 12.955/2026; EC 132/2023</w:t>
            </w:r>
          </w:p>
        </w:tc>
      </w:tr>
    </w:tbl>
    <w:p>
      <w:r>
        <w:br w:type="page"/>
      </w:r>
    </w:p>
    <w:p>
      <w:pPr>
        <w:spacing w:before="360" w:after="160"/>
      </w:pPr>
      <w:r>
        <w:rPr>
          <w:b/>
          <w:color w:val="0B3D91"/>
          <w:sz w:val="40"/>
        </w:rPr>
        <w:t>1. Contexto Setorial — Agronegócio</w:t>
      </w:r>
    </w:p>
    <w:p>
      <w:pPr>
        <w:jc w:val="both"/>
      </w:pPr>
      <w:r>
        <w:rPr>
          <w:b w:val="0"/>
          <w:i w:val="0"/>
        </w:rPr>
        <w:t>O agronegócio apresenta tratamento heterogêneo: produtor rural pessoa física pode ficar fora do regime regular (art. 41), há crédito presumido para o adquirente de não contribuintes (art. 168), e produtos da cesta básica (arroz, feijão, leite, café, óleo, etc.) têm alíquota zero. O setor exporta a maior parte da produção, com imunidade de CBS na exportação (art. 5º LC 214/2025) e direito ao ressarcimento dos créditos.</w:t>
      </w:r>
    </w:p>
    <w:p>
      <w:pPr>
        <w:spacing w:before="240" w:after="120"/>
      </w:pPr>
      <w:r>
        <w:rPr>
          <w:b/>
          <w:color w:val="1F4E79"/>
          <w:sz w:val="30"/>
        </w:rPr>
        <w:t>2. Bloco A — Resumo Executivo</w:t>
      </w:r>
    </w:p>
    <w:p>
      <w:pPr>
        <w:jc w:val="both"/>
      </w:pPr>
      <w:r>
        <w:rPr>
          <w:b w:val="0"/>
          <w:i w:val="0"/>
        </w:rPr>
        <w:t>O Decreto nº 12.955/2026, regulamentando a Lei Complementar nº 214/2025, redefine integralmente o tratamento da Contribuição Social sobre Bens e Serviços (CBS) aplicável ao setor de Agronegócio. As alterações afetam diretamente cadastro fiscal, formação de preços, gestão de créditos, parametrização do ERP, emissão de documentos fiscais e governança tributária. Em razão da convivência transitória com PIS, COFINS, ICMS e ISS, o setor deverá manter dois ambientes paralelos de apuração ao longo de 2026.</w:t>
      </w:r>
    </w:p>
    <w:p>
      <w:pPr>
        <w:spacing w:before="240" w:after="120"/>
      </w:pPr>
      <w:r>
        <w:rPr>
          <w:b/>
          <w:color w:val="1F4E79"/>
          <w:sz w:val="30"/>
        </w:rPr>
        <w:t>3. Bloco B — Base Legal Aplicável</w:t>
      </w:r>
    </w:p>
    <w:p>
      <w:pPr>
        <w:pStyle w:val="ListBullet"/>
      </w:pPr>
      <w:r>
        <w:t>Constituição Federal — art. 156-A e art. 195, V (EC 132/2023);</w:t>
      </w:r>
    </w:p>
    <w:p>
      <w:pPr>
        <w:pStyle w:val="ListBullet"/>
      </w:pPr>
      <w:r>
        <w:t>Lei Complementar nº 214/2025 — institui CBS, IBS e Imposto Seletivo;</w:t>
      </w:r>
    </w:p>
    <w:p>
      <w:pPr>
        <w:pStyle w:val="ListBullet"/>
      </w:pPr>
      <w:r>
        <w:t>Decreto nº 12.955, de 29 de abril de 2026 — regulamenta a CBS;</w:t>
      </w:r>
    </w:p>
    <w:p>
      <w:pPr>
        <w:pStyle w:val="ListBullet"/>
      </w:pPr>
      <w:r>
        <w:t>Atos complementares da RFB e do Comitê Gestor (em emissão);</w:t>
      </w:r>
    </w:p>
    <w:p>
      <w:pPr>
        <w:spacing w:before="240" w:after="120"/>
      </w:pPr>
      <w:r>
        <w:rPr>
          <w:b/>
          <w:color w:val="1F4E79"/>
          <w:sz w:val="30"/>
        </w:rPr>
        <w:t>4. Bloco C — Principais Alterações para o Setor</w:t>
      </w:r>
    </w:p>
    <w:p>
      <w:pPr>
        <w:pStyle w:val="ListBullet"/>
      </w:pPr>
      <w:r>
        <w:t>Produtor rural com receita até R$ 3,6 milhões/ano pode optar por não ser contribuinte (art. 41);</w:t>
      </w:r>
    </w:p>
    <w:p>
      <w:pPr>
        <w:pStyle w:val="ListBullet"/>
      </w:pPr>
      <w:r>
        <w:t>Crédito presumido na aquisição de não contribuintes — gera competitividade ao adquirente;</w:t>
      </w:r>
    </w:p>
    <w:p>
      <w:pPr>
        <w:pStyle w:val="ListBullet"/>
      </w:pPr>
      <w:r>
        <w:t>Cesta básica nacional zerada (Anexo I) e cesta estendida com -60% (Anexo II);</w:t>
      </w:r>
    </w:p>
    <w:p>
      <w:pPr>
        <w:pStyle w:val="ListBullet"/>
      </w:pPr>
      <w:r>
        <w:t>Insumos agropecuários com redução de 60% (Anexo XV);</w:t>
      </w:r>
    </w:p>
    <w:p>
      <w:pPr>
        <w:pStyle w:val="ListBullet"/>
      </w:pPr>
      <w:r>
        <w:t>Exportação imune com manutenção de crédito e ressarcimento (art. 311);</w:t>
      </w:r>
    </w:p>
    <w:p>
      <w:pPr>
        <w:pStyle w:val="ListBullet"/>
      </w:pPr>
      <w:r>
        <w:t>Cooperativas com regime específico (art. 305 a 320);</w:t>
      </w:r>
    </w:p>
    <w:p>
      <w:pPr>
        <w:spacing w:before="240" w:after="120"/>
      </w:pPr>
      <w:r>
        <w:rPr>
          <w:b/>
          <w:color w:val="1F4E79"/>
          <w:sz w:val="30"/>
        </w:rPr>
        <w:t>5. Bloco D — Impactos Operacionais por Área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0B3D91"/>
          </w:tcPr>
          <w:p>
            <w:r/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3230"/>
            <w:shd w:val="clear" w:color="auto" w:fill="0B3D91"/>
          </w:tcPr>
          <w:p>
            <w:r/>
            <w:r>
              <w:rPr>
                <w:b/>
                <w:color w:val="FFFFFF"/>
                <w:sz w:val="20"/>
              </w:rPr>
              <w:t>Impacto</w:t>
            </w:r>
          </w:p>
        </w:tc>
        <w:tc>
          <w:tcPr>
            <w:tcW w:type="dxa" w:w="3230"/>
            <w:shd w:val="clear" w:color="auto" w:fill="0B3D91"/>
          </w:tcPr>
          <w:p>
            <w:r/>
            <w:r>
              <w:rPr>
                <w:b/>
                <w:color w:val="FFFFFF"/>
                <w:sz w:val="20"/>
              </w:rPr>
              <w:t>Criticidade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0"/>
              </w:rPr>
              <w:t>Cadastro de Produtores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Identificação de contribuintes x não contribuintes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Crítica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0"/>
              </w:rPr>
              <w:t>Compras / Originação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Cálculo do crédito presumido e gestão por safra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Alta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0"/>
              </w:rPr>
              <w:t>Logística / Exportação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Documentação para imunidade e ressarcimento de crédito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Alta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0"/>
              </w:rPr>
              <w:t>Cooperativas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Implantação do regime específico do art. 305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Crítica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0"/>
              </w:rPr>
              <w:t>Comercial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Adequação ao regime monofásico de combustíveis e insumos específicos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Média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0"/>
              </w:rPr>
              <w:t>Fiscal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Apuração diferenciada para produtos da cesta básica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Alta</w:t>
            </w:r>
          </w:p>
        </w:tc>
      </w:tr>
    </w:tbl>
    <w:p/>
    <w:p>
      <w:pPr>
        <w:spacing w:before="240" w:after="120"/>
      </w:pPr>
      <w:r>
        <w:rPr>
          <w:b/>
          <w:color w:val="1F4E79"/>
          <w:sz w:val="30"/>
        </w:rPr>
        <w:t>6. Regimes Específicos e Diferenciados Aplicáveis</w:t>
      </w:r>
    </w:p>
    <w:p>
      <w:pPr>
        <w:jc w:val="both"/>
      </w:pPr>
      <w:r>
        <w:rPr>
          <w:b w:val="0"/>
          <w:i w:val="0"/>
        </w:rPr>
        <w:t>Produtor rural pessoa física com receita até R$ 3,6 milhões pode optar por não recolher CBS, hipótese em que o adquirente apropria crédito presumido (art. 168). Cooperativas agropecuárias têm tratamento próprio (art. 305). Insumos como sementes, defensivos, fertilizantes e rações: redução de 60%. Produção integrada de aves e suínos tem regra de aproveitamento de crédito específica. Exportação direta e indireta gera saldo credor recuperável.</w:t>
      </w:r>
    </w:p>
    <w:p>
      <w:pPr>
        <w:spacing w:before="240" w:after="120"/>
      </w:pPr>
      <w:r>
        <w:rPr>
          <w:b/>
          <w:color w:val="1F4E79"/>
          <w:sz w:val="30"/>
        </w:rPr>
        <w:t>7. Bloco E — Exemplo Prático Aplicado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DDEBF7"/>
          </w:tcPr>
          <w:p>
            <w:r/>
            <w:r>
              <w:rPr>
                <w:b/>
                <w:sz w:val="20"/>
              </w:rPr>
              <w:t>ℹ INFORMAÇÃO TÉCNICA</w:t>
            </w:r>
          </w:p>
          <w:p>
            <w:r>
              <w:rPr>
                <w:sz w:val="22"/>
              </w:rPr>
              <w:t>Trading compra soja diretamente de produtor rural pessoa física (não contribuinte) por R$ 1.000.000,00. Não há destaque de CBS na nota, mas a trading pode apropriar crédito presumido equivalente, na forma do art. 168 (regulamentação CGIBS pendente). Ao exportar a soja por R$ 1.500.000,00, há imunidade da CBS — todos os créditos acumulados são ressarcíveis ao exportador, com regra de monetização rápida (art. 311 §3º).</w:t>
            </w:r>
          </w:p>
        </w:tc>
      </w:tr>
    </w:tbl>
    <w:p/>
    <w:p>
      <w:pPr>
        <w:spacing w:before="240" w:after="120"/>
      </w:pPr>
      <w:r>
        <w:rPr>
          <w:b/>
          <w:color w:val="1F4E79"/>
          <w:sz w:val="30"/>
        </w:rPr>
        <w:t>8. Pontos de Risco e Atenção</w:t>
      </w:r>
    </w:p>
    <w:p>
      <w:pPr>
        <w:pStyle w:val="ListBullet"/>
      </w:pPr>
      <w:r>
        <w:t>Erro na qualificação do produtor (contribuinte x não contribuinte) gera glosa de crédito;</w:t>
      </w:r>
    </w:p>
    <w:p>
      <w:pPr>
        <w:pStyle w:val="ListBullet"/>
      </w:pPr>
      <w:r>
        <w:t>Cooperativas com regime mal configurado perdem benefício;</w:t>
      </w:r>
    </w:p>
    <w:p>
      <w:pPr>
        <w:pStyle w:val="ListBullet"/>
      </w:pPr>
      <w:r>
        <w:t>Insumos agrícolas mal classificados perdem redução de 60%;</w:t>
      </w:r>
    </w:p>
    <w:p>
      <w:pPr>
        <w:pStyle w:val="ListBullet"/>
      </w:pPr>
      <w:r>
        <w:t>Operações de barter (troca de insumo por produto) exigem tratamento específico;</w:t>
      </w:r>
    </w:p>
    <w:p>
      <w:pPr>
        <w:pStyle w:val="ListBullet"/>
      </w:pPr>
      <w:r>
        <w:t>Demora no ressarcimento do crédito de exportação afeta capital de giro;</w:t>
      </w:r>
    </w:p>
    <w:p>
      <w:pPr>
        <w:spacing w:before="240" w:after="120"/>
      </w:pPr>
      <w:r>
        <w:rPr>
          <w:b/>
          <w:color w:val="1F4E79"/>
          <w:sz w:val="30"/>
        </w:rPr>
        <w:t>9. Bloco F — Plano de Ação Recomendado</w:t>
      </w:r>
    </w:p>
    <w:p>
      <w:pPr>
        <w:pStyle w:val="ListNumber"/>
      </w:pPr>
      <w:r>
        <w:t>Cadastrar 100% dos produtores fornecedores com indicador de regime CBS;</w:t>
      </w:r>
    </w:p>
    <w:p>
      <w:pPr>
        <w:pStyle w:val="ListNumber"/>
      </w:pPr>
      <w:r>
        <w:t>Implantar processo de cálculo automático de crédito presumido;</w:t>
      </w:r>
    </w:p>
    <w:p>
      <w:pPr>
        <w:pStyle w:val="ListNumber"/>
      </w:pPr>
      <w:r>
        <w:t>Revisar contratos de compra com cláusula de tributação;</w:t>
      </w:r>
    </w:p>
    <w:p>
      <w:pPr>
        <w:pStyle w:val="ListNumber"/>
      </w:pPr>
      <w:r>
        <w:t>Capacitar área de exportação na rotina de imunidade e ressarcimento;</w:t>
      </w:r>
    </w:p>
    <w:p>
      <w:pPr>
        <w:pStyle w:val="ListNumber"/>
      </w:pPr>
      <w:r>
        <w:t>Atender ao regime cooperativo com sistema parametrizado;</w:t>
      </w:r>
    </w:p>
    <w:p>
      <w:pPr>
        <w:pStyle w:val="ListNumber"/>
      </w:pPr>
      <w:r>
        <w:t>Acompanhar regulamentação do crédito presumido (CGIBS — pendente);</w:t>
      </w:r>
    </w:p>
    <w:p>
      <w:pPr>
        <w:pStyle w:val="ListNumber"/>
      </w:pPr>
      <w:r>
        <w:t>Constituir reserva financeira para o intervalo entre crédito e ressarcimento;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FFF2CC"/>
          </w:tcPr>
          <w:p>
            <w:r/>
            <w:r>
              <w:rPr>
                <w:b/>
                <w:sz w:val="20"/>
              </w:rPr>
              <w:t>⚠ ATENÇÃO</w:t>
            </w:r>
          </w:p>
          <w:p>
            <w:r>
              <w:rPr>
                <w:sz w:val="22"/>
              </w:rPr>
              <w:t>Diversos dispositivos do Decreto nº 12.955/2026 exigem atos complementares da RFB ou do Comitê Gestor para plena operacionalização. Recomenda-se acompanhamento contínuo da regulamentação durante 2026.</w:t>
            </w:r>
          </w:p>
        </w:tc>
      </w:tr>
    </w:tbl>
    <w:p/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i/>
          <w:color w:val="595959"/>
          <w:sz w:val="18"/>
        </w:rPr>
        <w:t>Documento técnico elaborado com base no Decreto nº 12.955, de 29/04/2026.</w:t>
        <w:br/>
      </w:r>
      <w:r>
        <w:rPr>
          <w:i/>
          <w:color w:val="595959"/>
          <w:sz w:val="18"/>
        </w:rPr>
        <w:t>Sujeito a ajustes em razão de atos normativos complementares (RFB/CGIBS) ainda pendentes de publicação.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