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Instituições Financeiras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Setor Financeiro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SETOR-07-Instituicoes-Financeiras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Instituições Financeiras</w:t>
      </w:r>
    </w:p>
    <w:p>
      <w:pPr>
        <w:jc w:val="both"/>
      </w:pPr>
      <w:r>
        <w:rPr>
          <w:b w:val="0"/>
          <w:i w:val="0"/>
        </w:rPr>
        <w:t>O sistema financeiro possui regime específico nos arts. 245 a 268 do Decreto. A CBS incide sobre receita bruta ajustada de cada modalidade (intermediação financeira, seguros, capitalização, previdência aberta, câmbio, mercado de capitais), com alíquotas reduzidas e regras próprias de creditamento limitado. O setor precisará reestruturar sistemas de apuração e contabilização tributária.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Instituições Financeiras.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Tributação sobre receita bruta ajustada das operações financeiras;</w:t>
      </w:r>
    </w:p>
    <w:p>
      <w:pPr>
        <w:pStyle w:val="ListBullet"/>
      </w:pPr>
      <w:r>
        <w:t>Alíquota específica reduzida (50% da alíquota nominal);</w:t>
      </w:r>
    </w:p>
    <w:p>
      <w:pPr>
        <w:pStyle w:val="ListBullet"/>
      </w:pPr>
      <w:r>
        <w:t>Crédito limitado a determinadas hipóteses;</w:t>
      </w:r>
    </w:p>
    <w:p>
      <w:pPr>
        <w:pStyle w:val="ListBullet"/>
      </w:pPr>
      <w:r>
        <w:t>Operações com pessoa física não contribuinte → CBS final;</w:t>
      </w:r>
    </w:p>
    <w:p>
      <w:pPr>
        <w:pStyle w:val="ListBullet"/>
      </w:pPr>
      <w:r>
        <w:t>Receitas de seguros saúde podem ter tratamento de redução de 60%;</w:t>
      </w:r>
    </w:p>
    <w:p>
      <w:pPr>
        <w:pStyle w:val="ListBullet"/>
      </w:pPr>
      <w:r>
        <w:t>Sociedades cooperativas de crédito têm tratamento próprio;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Apuração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Apuração por modalidade de operação financeira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Clientes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Identificação de PF x PJ contribuinte para crédito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TI / Core Bancário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Reparametrização de cálculo por linha de receita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Gestão do split payment em operações de pagamento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Contábil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Reclassificação de receitas e custos tributáveis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Risco / Compliance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de processos de monitoramento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Bancos múltiplos, comerciais, de investimento e de desenvolvimento; cooperativas de crédito; sociedades corretoras e distribuidoras; bolsas de valores; entidades de previdência complementar; sociedades de capitalização; seguradoras. Cada modalidade tem base e alíquota efetiva próprias. Para fintechs e instituições de pagamento aplica-se a regra de receita bruta com tratamento similar.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Banco apura receita bruta de operações de crédito de R$ 100.000.000,00 no mês, com despesas dedutíveis de R$ 30.000.000,00 (juros pagos, custo de captação). Base de cálculo CBS: R$ 70.000.000,00. Alíquota reduzida (50% da nominal de 0,9% em 2026 = 0,45%). CBS devida: R$ 315.000,00. Operação de seguro saúde tem ajuste adicional para redução de 60%, conforme art. 463.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Erro na composição da receita bruta ajustada gera autuação fiscal de grande monta;</w:t>
      </w:r>
    </w:p>
    <w:p>
      <w:pPr>
        <w:pStyle w:val="ListBullet"/>
      </w:pPr>
      <w:r>
        <w:t>Crédito não aproveitado representa custo permanente para a instituição;</w:t>
      </w:r>
    </w:p>
    <w:p>
      <w:pPr>
        <w:pStyle w:val="ListBullet"/>
      </w:pPr>
      <w:r>
        <w:t>Falta de integração com Banco Central pode gerar inconsistências;</w:t>
      </w:r>
    </w:p>
    <w:p>
      <w:pPr>
        <w:pStyle w:val="ListBullet"/>
      </w:pPr>
      <w:r>
        <w:t>Split payment em PIX e cartão precisa de protocolo específico com adquirentes;</w:t>
      </w:r>
    </w:p>
    <w:p>
      <w:pPr>
        <w:pStyle w:val="ListBullet"/>
      </w:pPr>
      <w:r>
        <w:t>Operações com pessoas físicas tornam a CBS um custo final;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Mapear todas as linhas de receita e classificar por modalidade tributável;</w:t>
      </w:r>
    </w:p>
    <w:p>
      <w:pPr>
        <w:pStyle w:val="ListNumber"/>
      </w:pPr>
      <w:r>
        <w:t>Adequar core bancário para apuração diária e split payment;</w:t>
      </w:r>
    </w:p>
    <w:p>
      <w:pPr>
        <w:pStyle w:val="ListNumber"/>
      </w:pPr>
      <w:r>
        <w:t>Revisar contratos com clientes e correspondentes bancários;</w:t>
      </w:r>
    </w:p>
    <w:p>
      <w:pPr>
        <w:pStyle w:val="ListNumber"/>
      </w:pPr>
      <w:r>
        <w:t>Implementar controle de crédito disponível por modalidade;</w:t>
      </w:r>
    </w:p>
    <w:p>
      <w:pPr>
        <w:pStyle w:val="ListNumber"/>
      </w:pPr>
      <w:r>
        <w:t>Treinar áreas de produtos, jurídico, contábil e tesouraria;</w:t>
      </w:r>
    </w:p>
    <w:p>
      <w:pPr>
        <w:pStyle w:val="ListNumber"/>
      </w:pPr>
      <w:r>
        <w:t>Acompanhar regulamentação suplementar (art. 245 a 268 — CGIBS);</w:t>
      </w:r>
    </w:p>
    <w:p>
      <w:pPr>
        <w:pStyle w:val="ListNumber"/>
      </w:pPr>
      <w:r>
        <w:t>Estabelecer comitê tributário com participação da diretoria executiva;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