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Saúde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Saúde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SETOR-08-Saude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Saúde</w:t>
      </w:r>
    </w:p>
    <w:p>
      <w:pPr>
        <w:jc w:val="both"/>
      </w:pPr>
      <w:r>
        <w:rPr>
          <w:b w:val="0"/>
          <w:i w:val="0"/>
        </w:rPr>
        <w:t>O setor de saúde — hospitais, clínicas, laboratórios, planos de saúde, distribuidores e farmácias — possui redução de 60% na CBS (art. 463). Medicamentos listados no Anexo XV têm redução de 60% e itens estratégicos do SUS podem ter alíquota zero. Planos de saúde têm regime específico (art. 463) com aplicação da redução sobre a contraprestação líquida. A reforma traz desafio operacional pela necessidade de classificação detalhada de procedimentos, medicamentos e materiais.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Saúde.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Redução de 60% para serviços de saúde (art. 463);</w:t>
      </w:r>
    </w:p>
    <w:p>
      <w:pPr>
        <w:pStyle w:val="ListBullet"/>
      </w:pPr>
      <w:r>
        <w:t>Medicamentos do Anexo XV com redução de 60%;</w:t>
      </w:r>
    </w:p>
    <w:p>
      <w:pPr>
        <w:pStyle w:val="ListBullet"/>
      </w:pPr>
      <w:r>
        <w:t>Medicamentos para doenças graves e SUS — alíquota zero (Anexo XVI);</w:t>
      </w:r>
    </w:p>
    <w:p>
      <w:pPr>
        <w:pStyle w:val="ListBullet"/>
      </w:pPr>
      <w:r>
        <w:t>Planos de saúde — base de cálculo é a contraprestação líquida (art. 463 §2º);</w:t>
      </w:r>
    </w:p>
    <w:p>
      <w:pPr>
        <w:pStyle w:val="ListBullet"/>
      </w:pPr>
      <w:r>
        <w:t>Hospitais, clínicas e laboratórios mantêm crédito amplo sobre insumos;</w:t>
      </w:r>
    </w:p>
    <w:p>
      <w:pPr>
        <w:pStyle w:val="ListBullet"/>
      </w:pPr>
      <w:r>
        <w:t>Dispositivos médicos com classificação fiscal própria;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Procedimentos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Reclassificação para regime CBS aplicável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Hospitalares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Distinção entre medicamentos zerados, reduzidos e tributados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Convênios / Operadoras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contratual e contraprestação líquida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Emissão de NFS-e e NF-e com CST e redução adequada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Reformulação de tabelas de procedimentos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HIS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Integração de classificação fiscal nos prontuários e faturamento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Hospitais filantrópicos podem combinar imunidade constitucional com regimes específicos. Operadoras de planos de saúde têm base de cálculo como contraprestação líquida — descontados eventos indenizáveis. Laboratórios de análises clínicas e diagnóstico por imagem têm redução de 60%. Farmácias de manipulação seguem o regime de medicamentos. Empresas de homecare têm regime de saúde.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Hospital fatura procedimento por R$ 50.000,00 a operadora de saúde. Aplica-se redução de 60%: alíquota efetiva CBS = 0,9% × 40% = 0,36% em 2026. CBS devida: R$ 180,00. Crédito sobre insumos hospitalares (R$ 5.000) = R$ 18,00 (alíquota cheia 0,9%) + R$ 5,00 (medicamentos com redução). Saldo devedor reduzido. Operadora de plano apura sobre contraprestação líquida de R$ 1.000.000,00 (após eventos indenizados de R$ 800.000) — CBS efetiva: R$ 720,00.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classificação de medicamento zerado x reduzido x cheio gera autuação;</w:t>
      </w:r>
    </w:p>
    <w:p>
      <w:pPr>
        <w:pStyle w:val="ListBullet"/>
      </w:pPr>
      <w:r>
        <w:t>Contraprestação líquida apurada incorretamente em planos de saúde;</w:t>
      </w:r>
    </w:p>
    <w:p>
      <w:pPr>
        <w:pStyle w:val="ListBullet"/>
      </w:pPr>
      <w:r>
        <w:t>Convênios médicos sem revisão contratual podem absorver CBS;</w:t>
      </w:r>
    </w:p>
    <w:p>
      <w:pPr>
        <w:pStyle w:val="ListBullet"/>
      </w:pPr>
      <w:r>
        <w:t>Filantropia mal documentada perde imunidade;</w:t>
      </w:r>
    </w:p>
    <w:p>
      <w:pPr>
        <w:pStyle w:val="ListBullet"/>
      </w:pPr>
      <w:r>
        <w:t>Sistemas hospitalares (HIS) sem código fiscal por procedimento atrasam o faturamento;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catálogo completo de procedimentos, medicamentos e materiais;</w:t>
      </w:r>
    </w:p>
    <w:p>
      <w:pPr>
        <w:pStyle w:val="ListNumber"/>
      </w:pPr>
      <w:r>
        <w:t>Classificar fiscalmente cada item (zero, reduzido ou cheio);</w:t>
      </w:r>
    </w:p>
    <w:p>
      <w:pPr>
        <w:pStyle w:val="ListNumber"/>
      </w:pPr>
      <w:r>
        <w:t>Revisar contratos com operadoras com cláusula de revisão de tabela;</w:t>
      </w:r>
    </w:p>
    <w:p>
      <w:pPr>
        <w:pStyle w:val="ListNumber"/>
      </w:pPr>
      <w:r>
        <w:t>Adequar HIS / sistemas de faturamento até 30/06/2026;</w:t>
      </w:r>
    </w:p>
    <w:p>
      <w:pPr>
        <w:pStyle w:val="ListNumber"/>
      </w:pPr>
      <w:r>
        <w:t>Treinar faturistas, convênios e financeiro em CBS;</w:t>
      </w:r>
    </w:p>
    <w:p>
      <w:pPr>
        <w:pStyle w:val="ListNumber"/>
      </w:pPr>
      <w:r>
        <w:t>Implementar controle de crédito por unidade e centro de custo;</w:t>
      </w:r>
    </w:p>
    <w:p>
      <w:pPr>
        <w:pStyle w:val="ListNumber"/>
      </w:pPr>
      <w:r>
        <w:t>Monitorar regulamentação ANS e RFB sobre planos de saúde;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