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8"/>
        </w:rPr>
        <w:br/>
        <w:br/>
        <w:t>REFORMA TRIBUTÁRIA — CBS</w:t>
      </w:r>
    </w:p>
    <w:p>
      <w:pPr>
        <w:jc w:val="center"/>
      </w:pPr>
      <w:r>
        <w:rPr>
          <w:i/>
          <w:color w:val="595959"/>
          <w:sz w:val="26"/>
        </w:rPr>
        <w:t>Decreto nº 12.955, de 29 de abril de 2026</w:t>
      </w:r>
    </w:p>
    <w:p>
      <w:pPr>
        <w:jc w:val="center"/>
      </w:pPr>
      <w:r>
        <w:rPr>
          <w:b/>
          <w:color w:val="0B3D91"/>
          <w:sz w:val="56"/>
        </w:rPr>
        <w:br/>
        <w:br/>
        <w:t>Análise Setorial — Educação</w:t>
        <w:br/>
      </w:r>
    </w:p>
    <w:p>
      <w:pPr>
        <w:jc w:val="center"/>
      </w:pPr>
      <w:r>
        <w:rPr>
          <w:color w:val="1F4E79"/>
          <w:sz w:val="28"/>
        </w:rPr>
        <w:t>Reforma Tributária — Impactos da CBS em Instituições de Ensino</w:t>
      </w:r>
    </w:p>
    <w:p/>
    <w:p/>
    <w:p/>
    <w:p/>
    <w:p/>
    <w:p/>
    <w:tbl>
      <w:tblPr>
        <w:tblStyle w:val="LightShading-Accent1"/>
        <w:tblW w:type="auto" w:w="0"/>
        <w:tblLook w:firstColumn="1" w:firstRow="1" w:lastColumn="0" w:lastRow="0" w:noHBand="0" w:noVBand="1" w:val="04A0"/>
      </w:tblPr>
      <w:tblGrid>
        <w:gridCol w:w="4844"/>
        <w:gridCol w:w="4844"/>
      </w:tblGrid>
      <w:tr>
        <w:tc>
          <w:tcPr>
            <w:tcW w:type="dxa" w:w="4844"/>
          </w:tcPr>
          <w:p>
            <w:r>
              <w:rPr>
                <w:b/>
              </w:rPr>
              <w:t>Código do Documento</w:t>
            </w:r>
          </w:p>
        </w:tc>
        <w:tc>
          <w:tcPr>
            <w:tcW w:type="dxa" w:w="4844"/>
          </w:tcPr>
          <w:p>
            <w:r>
              <w:t>SETOR-09-Educacao</w:t>
            </w:r>
          </w:p>
        </w:tc>
      </w:tr>
      <w:tr>
        <w:tc>
          <w:tcPr>
            <w:tcW w:type="dxa" w:w="4844"/>
          </w:tcPr>
          <w:p>
            <w:r>
              <w:rPr>
                <w:b/>
              </w:rPr>
              <w:t>Data de Elaboração</w:t>
            </w:r>
          </w:p>
        </w:tc>
        <w:tc>
          <w:tcPr>
            <w:tcW w:type="dxa" w:w="4844"/>
          </w:tcPr>
          <w:p>
            <w:r>
              <w:t>30/04/2026</w:t>
            </w:r>
          </w:p>
        </w:tc>
      </w:tr>
      <w:tr>
        <w:tc>
          <w:tcPr>
            <w:tcW w:type="dxa" w:w="4844"/>
          </w:tcPr>
          <w:p>
            <w:r>
              <w:rPr>
                <w:b/>
              </w:rPr>
              <w:t>Autor Técnico</w:t>
            </w:r>
          </w:p>
        </w:tc>
        <w:tc>
          <w:tcPr>
            <w:tcW w:type="dxa" w:w="4844"/>
          </w:tcPr>
          <w:p>
            <w:r>
              <w:t>ALLAN MARCIO — Consultor Tributário Sênior</w:t>
            </w:r>
          </w:p>
        </w:tc>
      </w:tr>
      <w:tr>
        <w:tc>
          <w:tcPr>
            <w:tcW w:type="dxa" w:w="4844"/>
          </w:tcPr>
          <w:p>
            <w:r>
              <w:rPr>
                <w:b/>
              </w:rPr>
              <w:t>Base Normativa</w:t>
            </w:r>
          </w:p>
        </w:tc>
        <w:tc>
          <w:tcPr>
            <w:tcW w:type="dxa" w:w="4844"/>
          </w:tcPr>
          <w:p>
            <w:r>
              <w:t>LC 214/2025; Decreto nº 12.955/2026; EC 132/2023</w:t>
            </w:r>
          </w:p>
        </w:tc>
      </w:tr>
    </w:tbl>
    <w:p>
      <w:r>
        <w:br w:type="page"/>
      </w:r>
    </w:p>
    <w:p>
      <w:pPr>
        <w:spacing w:before="360" w:after="160"/>
      </w:pPr>
      <w:r>
        <w:rPr>
          <w:b/>
          <w:color w:val="0B3D91"/>
          <w:sz w:val="40"/>
        </w:rPr>
        <w:t>1. Contexto Setorial — Educação</w:t>
      </w:r>
    </w:p>
    <w:p>
      <w:pPr>
        <w:jc w:val="both"/>
      </w:pPr>
      <w:r>
        <w:rPr>
          <w:b w:val="0"/>
          <w:i w:val="0"/>
        </w:rPr>
        <w:t>A educação é beneficiada pela redução de 60% da CBS, conforme art. 460 do Decreto. Inclui ensino infantil, fundamental, médio, superior, técnico, profissionalizante e cursos livres reconhecidos. Instituições filantrópicas preservam imunidade constitucional. EAD e edtechs precisam observar a classificação NBS adequada para o regime diferenciado. Materiais didáticos têm regramento próprio e livros didáticos possuem alíquota zero.</w:t>
      </w:r>
    </w:p>
    <w:p>
      <w:pPr>
        <w:spacing w:before="240" w:after="120"/>
      </w:pPr>
      <w:r>
        <w:rPr>
          <w:b/>
          <w:color w:val="1F4E79"/>
          <w:sz w:val="30"/>
        </w:rPr>
        <w:t>2. Bloco A — Resumo Executivo</w:t>
      </w:r>
    </w:p>
    <w:p>
      <w:pPr>
        <w:jc w:val="both"/>
      </w:pPr>
      <w:r>
        <w:rPr>
          <w:b w:val="0"/>
          <w:i w:val="0"/>
        </w:rPr>
        <w:t>O Decreto nº 12.955/2026, regulamentando a Lei Complementar nº 214/2025, redefine integralmente o tratamento da Contribuição Social sobre Bens e Serviços (CBS) aplicável ao setor de Educação. As alterações afetam diretamente cadastro fiscal, formação de preços, gestão de créditos, parametrização do ERP, emissão de documentos fiscais e governança tributária. Em razão da convivência transitória com PIS, COFINS, ICMS e ISS, o setor deverá manter dois ambientes paralelos de apuração ao longo de 2026.</w:t>
      </w:r>
    </w:p>
    <w:p>
      <w:pPr>
        <w:spacing w:before="240" w:after="120"/>
      </w:pPr>
      <w:r>
        <w:rPr>
          <w:b/>
          <w:color w:val="1F4E79"/>
          <w:sz w:val="30"/>
        </w:rPr>
        <w:t>3. Bloco B — Base Legal Aplicável</w:t>
      </w:r>
    </w:p>
    <w:p>
      <w:pPr>
        <w:pStyle w:val="ListBullet"/>
      </w:pPr>
      <w:r>
        <w:t>Constituição Federal — art. 156-A e art. 195, V (EC 132/2023);</w:t>
      </w:r>
    </w:p>
    <w:p>
      <w:pPr>
        <w:pStyle w:val="ListBullet"/>
      </w:pPr>
      <w:r>
        <w:t>Lei Complementar nº 214/2025 — institui CBS, IBS e Imposto Seletivo;</w:t>
      </w:r>
    </w:p>
    <w:p>
      <w:pPr>
        <w:pStyle w:val="ListBullet"/>
      </w:pPr>
      <w:r>
        <w:t>Decreto nº 12.955, de 29 de abril de 2026 — regulamenta a CBS;</w:t>
      </w:r>
    </w:p>
    <w:p>
      <w:pPr>
        <w:pStyle w:val="ListBullet"/>
      </w:pPr>
      <w:r>
        <w:t>Atos complementares da RFB e do Comitê Gestor (em emissão);</w:t>
      </w:r>
    </w:p>
    <w:p>
      <w:pPr>
        <w:spacing w:before="240" w:after="120"/>
      </w:pPr>
      <w:r>
        <w:rPr>
          <w:b/>
          <w:color w:val="1F4E79"/>
          <w:sz w:val="30"/>
        </w:rPr>
        <w:t>4. Bloco C — Principais Alterações para o Setor</w:t>
      </w:r>
    </w:p>
    <w:p>
      <w:pPr>
        <w:pStyle w:val="ListBullet"/>
      </w:pPr>
      <w:r>
        <w:t>Redução de 60% na CBS para serviços educacionais (art. 460);</w:t>
      </w:r>
    </w:p>
    <w:p>
      <w:pPr>
        <w:pStyle w:val="ListBullet"/>
      </w:pPr>
      <w:r>
        <w:t>Livros e periódicos: alíquota zero (imunidade constitucional);</w:t>
      </w:r>
    </w:p>
    <w:p>
      <w:pPr>
        <w:pStyle w:val="ListBullet"/>
      </w:pPr>
      <w:r>
        <w:t>Material didático: tratamento por classificação fiscal (NCM);</w:t>
      </w:r>
    </w:p>
    <w:p>
      <w:pPr>
        <w:pStyle w:val="ListBullet"/>
      </w:pPr>
      <w:r>
        <w:t>Bolsas e descontos não condicionais reduzem base de cálculo;</w:t>
      </w:r>
    </w:p>
    <w:p>
      <w:pPr>
        <w:pStyle w:val="ListBullet"/>
      </w:pPr>
      <w:r>
        <w:t>Mensalidades de ensino superior privado mantêm regime de redução;</w:t>
      </w:r>
    </w:p>
    <w:p>
      <w:pPr>
        <w:pStyle w:val="ListBullet"/>
      </w:pPr>
      <w:r>
        <w:t>EAD e cursos livres devem comprovar reconhecimento para benefício;</w:t>
      </w:r>
    </w:p>
    <w:p>
      <w:pPr>
        <w:spacing w:before="240" w:after="120"/>
      </w:pPr>
      <w:r>
        <w:rPr>
          <w:b/>
          <w:color w:val="1F4E79"/>
          <w:sz w:val="30"/>
        </w:rPr>
        <w:t>5. Bloco D — Impactos Operacionais por Área</w:t>
      </w:r>
    </w:p>
    <w:tbl>
      <w:tblPr>
        <w:tblStyle w:val="LightGrid-Accent1"/>
        <w:tblW w:type="auto" w:w="0"/>
        <w:tblLook w:firstColumn="1" w:firstRow="1" w:lastColumn="0" w:lastRow="0" w:noHBand="0" w:noVBand="1" w:val="04A0"/>
      </w:tblPr>
      <w:tblGrid>
        <w:gridCol w:w="3230"/>
        <w:gridCol w:w="3230"/>
        <w:gridCol w:w="3230"/>
      </w:tblGrid>
      <w:tr>
        <w:tc>
          <w:tcPr>
            <w:tcW w:type="dxa" w:w="3230"/>
            <w:shd w:val="clear" w:color="auto" w:fill="0B3D91"/>
          </w:tcPr>
          <w:p>
            <w:r/>
            <w:r>
              <w:rPr>
                <w:b/>
                <w:color w:val="FFFFFF"/>
                <w:sz w:val="20"/>
              </w:rPr>
              <w:t>Área</w:t>
            </w:r>
          </w:p>
        </w:tc>
        <w:tc>
          <w:tcPr>
            <w:tcW w:type="dxa" w:w="3230"/>
            <w:shd w:val="clear" w:color="auto" w:fill="0B3D91"/>
          </w:tcPr>
          <w:p>
            <w:r/>
            <w:r>
              <w:rPr>
                <w:b/>
                <w:color w:val="FFFFFF"/>
                <w:sz w:val="20"/>
              </w:rPr>
              <w:t>Impacto</w:t>
            </w:r>
          </w:p>
        </w:tc>
        <w:tc>
          <w:tcPr>
            <w:tcW w:type="dxa" w:w="3230"/>
            <w:shd w:val="clear" w:color="auto" w:fill="0B3D91"/>
          </w:tcPr>
          <w:p>
            <w:r/>
            <w:r>
              <w:rPr>
                <w:b/>
                <w:color w:val="FFFFFF"/>
                <w:sz w:val="20"/>
              </w:rPr>
              <w:t>Criticidade</w:t>
            </w:r>
          </w:p>
        </w:tc>
      </w:tr>
      <w:tr>
        <w:tc>
          <w:tcPr>
            <w:tcW w:type="dxa" w:w="3230"/>
          </w:tcPr>
          <w:p>
            <w:r/>
            <w:r>
              <w:rPr>
                <w:sz w:val="20"/>
              </w:rPr>
              <w:t>Cadastro de Cursos</w:t>
            </w:r>
          </w:p>
        </w:tc>
        <w:tc>
          <w:tcPr>
            <w:tcW w:type="dxa" w:w="3230"/>
          </w:tcPr>
          <w:p>
            <w:r/>
            <w:r>
              <w:rPr>
                <w:sz w:val="20"/>
              </w:rPr>
              <w:t>Classificação NBS e regime CBS por modalidade</w:t>
            </w:r>
          </w:p>
        </w:tc>
        <w:tc>
          <w:tcPr>
            <w:tcW w:type="dxa" w:w="3230"/>
          </w:tcPr>
          <w:p>
            <w:r/>
            <w:r>
              <w:rPr>
                <w:sz w:val="20"/>
              </w:rPr>
              <w:t>Alta</w:t>
            </w:r>
          </w:p>
        </w:tc>
      </w:tr>
      <w:tr>
        <w:tc>
          <w:tcPr>
            <w:tcW w:type="dxa" w:w="3230"/>
          </w:tcPr>
          <w:p>
            <w:r/>
            <w:r>
              <w:rPr>
                <w:sz w:val="20"/>
              </w:rPr>
              <w:t>Faturamento</w:t>
            </w:r>
          </w:p>
        </w:tc>
        <w:tc>
          <w:tcPr>
            <w:tcW w:type="dxa" w:w="3230"/>
          </w:tcPr>
          <w:p>
            <w:r/>
            <w:r>
              <w:rPr>
                <w:sz w:val="20"/>
              </w:rPr>
              <w:t>Emissão de NFS-e com redução aplicada corretamente</w:t>
            </w:r>
          </w:p>
        </w:tc>
        <w:tc>
          <w:tcPr>
            <w:tcW w:type="dxa" w:w="3230"/>
          </w:tcPr>
          <w:p>
            <w:r/>
            <w:r>
              <w:rPr>
                <w:sz w:val="20"/>
              </w:rPr>
              <w:t>Crítica</w:t>
            </w:r>
          </w:p>
        </w:tc>
      </w:tr>
      <w:tr>
        <w:tc>
          <w:tcPr>
            <w:tcW w:type="dxa" w:w="3230"/>
          </w:tcPr>
          <w:p>
            <w:r/>
            <w:r>
              <w:rPr>
                <w:sz w:val="20"/>
              </w:rPr>
              <w:t>Bolsas / Descontos</w:t>
            </w:r>
          </w:p>
        </w:tc>
        <w:tc>
          <w:tcPr>
            <w:tcW w:type="dxa" w:w="3230"/>
          </w:tcPr>
          <w:p>
            <w:r/>
            <w:r>
              <w:rPr>
                <w:sz w:val="20"/>
              </w:rPr>
              <w:t>Adequação ao regime de descontos não condicionais</w:t>
            </w:r>
          </w:p>
        </w:tc>
        <w:tc>
          <w:tcPr>
            <w:tcW w:type="dxa" w:w="3230"/>
          </w:tcPr>
          <w:p>
            <w:r/>
            <w:r>
              <w:rPr>
                <w:sz w:val="20"/>
              </w:rPr>
              <w:t>Média</w:t>
            </w:r>
          </w:p>
        </w:tc>
      </w:tr>
      <w:tr>
        <w:tc>
          <w:tcPr>
            <w:tcW w:type="dxa" w:w="3230"/>
          </w:tcPr>
          <w:p>
            <w:r/>
            <w:r>
              <w:rPr>
                <w:sz w:val="20"/>
              </w:rPr>
              <w:t>Compras</w:t>
            </w:r>
          </w:p>
        </w:tc>
        <w:tc>
          <w:tcPr>
            <w:tcW w:type="dxa" w:w="3230"/>
          </w:tcPr>
          <w:p>
            <w:r/>
            <w:r>
              <w:rPr>
                <w:sz w:val="20"/>
              </w:rPr>
              <w:t>Aproveitamento de crédito sobre insumos educacionais</w:t>
            </w:r>
          </w:p>
        </w:tc>
        <w:tc>
          <w:tcPr>
            <w:tcW w:type="dxa" w:w="3230"/>
          </w:tcPr>
          <w:p>
            <w:r/>
            <w:r>
              <w:rPr>
                <w:sz w:val="20"/>
              </w:rPr>
              <w:t>Média</w:t>
            </w:r>
          </w:p>
        </w:tc>
      </w:tr>
      <w:tr>
        <w:tc>
          <w:tcPr>
            <w:tcW w:type="dxa" w:w="3230"/>
          </w:tcPr>
          <w:p>
            <w:r/>
            <w:r>
              <w:rPr>
                <w:sz w:val="20"/>
              </w:rPr>
              <w:t>TI / ERP</w:t>
            </w:r>
          </w:p>
        </w:tc>
        <w:tc>
          <w:tcPr>
            <w:tcW w:type="dxa" w:w="3230"/>
          </w:tcPr>
          <w:p>
            <w:r/>
            <w:r>
              <w:rPr>
                <w:sz w:val="20"/>
              </w:rPr>
              <w:t>Configuração de cálculo CBS reduzida nas mensalidades</w:t>
            </w:r>
          </w:p>
        </w:tc>
        <w:tc>
          <w:tcPr>
            <w:tcW w:type="dxa" w:w="3230"/>
          </w:tcPr>
          <w:p>
            <w:r/>
            <w:r>
              <w:rPr>
                <w:sz w:val="20"/>
              </w:rPr>
              <w:t>Alta</w:t>
            </w:r>
          </w:p>
        </w:tc>
      </w:tr>
      <w:tr>
        <w:tc>
          <w:tcPr>
            <w:tcW w:type="dxa" w:w="3230"/>
          </w:tcPr>
          <w:p>
            <w:r/>
            <w:r>
              <w:rPr>
                <w:sz w:val="20"/>
              </w:rPr>
              <w:t>Filantropia</w:t>
            </w:r>
          </w:p>
        </w:tc>
        <w:tc>
          <w:tcPr>
            <w:tcW w:type="dxa" w:w="3230"/>
          </w:tcPr>
          <w:p>
            <w:r/>
            <w:r>
              <w:rPr>
                <w:sz w:val="20"/>
              </w:rPr>
              <w:t>Documentação para preservação da imunidade</w:t>
            </w:r>
          </w:p>
        </w:tc>
        <w:tc>
          <w:tcPr>
            <w:tcW w:type="dxa" w:w="3230"/>
          </w:tcPr>
          <w:p>
            <w:r/>
            <w:r>
              <w:rPr>
                <w:sz w:val="20"/>
              </w:rPr>
              <w:t>Crítica</w:t>
            </w:r>
          </w:p>
        </w:tc>
      </w:tr>
    </w:tbl>
    <w:p/>
    <w:p>
      <w:pPr>
        <w:spacing w:before="240" w:after="120"/>
      </w:pPr>
      <w:r>
        <w:rPr>
          <w:b/>
          <w:color w:val="1F4E79"/>
          <w:sz w:val="30"/>
        </w:rPr>
        <w:t>6. Regimes Específicos e Diferenciados Aplicáveis</w:t>
      </w:r>
    </w:p>
    <w:p>
      <w:pPr>
        <w:jc w:val="both"/>
      </w:pPr>
      <w:r>
        <w:rPr>
          <w:b w:val="0"/>
          <w:i w:val="0"/>
        </w:rPr>
        <w:t>Educação infantil, fundamental, média, superior, técnica e profissionalizante: redução de 60%. Cursos livres reconhecidos podem aplicar redução. Instituições filantrópicas reconhecidas (CEBAS, etc.) preservam imunidade total. Universidades públicas seguem regime jurídico próprio. EAD com plataforma digital aplica regime de educação se reconhecida pelo MEC.</w:t>
      </w:r>
    </w:p>
    <w:p>
      <w:pPr>
        <w:spacing w:before="240" w:after="120"/>
      </w:pPr>
      <w:r>
        <w:rPr>
          <w:b/>
          <w:color w:val="1F4E79"/>
          <w:sz w:val="30"/>
        </w:rPr>
        <w:t>7. Bloco E — Exemplo Prático Aplicado</w:t>
      </w:r>
    </w:p>
    <w:tbl>
      <w:tblPr>
        <w:tblW w:type="auto" w:w="0"/>
        <w:tblLook w:firstColumn="1" w:firstRow="1" w:lastColumn="0" w:lastRow="0" w:noHBand="0" w:noVBand="1" w:val="04A0"/>
      </w:tblPr>
      <w:tblGrid>
        <w:gridCol w:w="9689"/>
      </w:tblGrid>
      <w:tr>
        <w:tc>
          <w:tcPr>
            <w:tcW w:type="dxa" w:w="9689"/>
            <w:shd w:val="clear" w:color="auto" w:fill="DDEBF7"/>
          </w:tcPr>
          <w:p>
            <w:r/>
            <w:r>
              <w:rPr>
                <w:b/>
                <w:sz w:val="20"/>
              </w:rPr>
              <w:t>ℹ INFORMAÇÃO TÉCNICA</w:t>
            </w:r>
          </w:p>
          <w:p>
            <w:r>
              <w:rPr>
                <w:sz w:val="22"/>
              </w:rPr>
              <w:t>Universidade fatura mensalidades no valor de R$ 10.000.000,00 no mês. Aplica-se redução de 60% na CBS: alíquota efetiva 0,9% × 40% = 0,36% em 2026. CBS devida: R$ 36.000,00. Crédito sobre insumos (energia, manutenção, locação): R$ 800.000 × 0,9% = R$ 7.200,00. Saldo devedor: R$ 28.800,00. Para cursos livres não reconhecidos pelo MEC, aplica-se alíquota cheia de CBS — R$ 90.000,00 (necessidade de validação).</w:t>
            </w:r>
          </w:p>
        </w:tc>
      </w:tr>
    </w:tbl>
    <w:p/>
    <w:p>
      <w:pPr>
        <w:spacing w:before="240" w:after="120"/>
      </w:pPr>
      <w:r>
        <w:rPr>
          <w:b/>
          <w:color w:val="1F4E79"/>
          <w:sz w:val="30"/>
        </w:rPr>
        <w:t>8. Pontos de Risco e Atenção</w:t>
      </w:r>
    </w:p>
    <w:p>
      <w:pPr>
        <w:pStyle w:val="ListBullet"/>
      </w:pPr>
      <w:r>
        <w:t>Curso livre não reconhecido pode perder o benefício de redução de 60%;</w:t>
      </w:r>
    </w:p>
    <w:p>
      <w:pPr>
        <w:pStyle w:val="ListBullet"/>
      </w:pPr>
      <w:r>
        <w:t>Bolsas mal classificadas podem ser autuadas como receita;</w:t>
      </w:r>
    </w:p>
    <w:p>
      <w:pPr>
        <w:pStyle w:val="ListBullet"/>
      </w:pPr>
      <w:r>
        <w:t>Filantropia com obrigações desatualizadas perde imunidade;</w:t>
      </w:r>
    </w:p>
    <w:p>
      <w:pPr>
        <w:pStyle w:val="ListBullet"/>
      </w:pPr>
      <w:r>
        <w:t>EAD em plataforma própria precisa documentar reconhecimento legal;</w:t>
      </w:r>
    </w:p>
    <w:p>
      <w:pPr>
        <w:pStyle w:val="ListBullet"/>
      </w:pPr>
      <w:r>
        <w:t>Aluguel de imóvel para escola pode ser tratado de forma equivocada;</w:t>
      </w:r>
    </w:p>
    <w:p>
      <w:pPr>
        <w:spacing w:before="240" w:after="120"/>
      </w:pPr>
      <w:r>
        <w:rPr>
          <w:b/>
          <w:color w:val="1F4E79"/>
          <w:sz w:val="30"/>
        </w:rPr>
        <w:t>9. Bloco F — Plano de Ação Recomendado</w:t>
      </w:r>
    </w:p>
    <w:p>
      <w:pPr>
        <w:pStyle w:val="ListNumber"/>
      </w:pPr>
      <w:r>
        <w:t>Validar reconhecimento de todas as modalidades junto ao MEC;</w:t>
      </w:r>
    </w:p>
    <w:p>
      <w:pPr>
        <w:pStyle w:val="ListNumber"/>
      </w:pPr>
      <w:r>
        <w:t>Revisar política de bolsas e descontos para alinhamento fiscal;</w:t>
      </w:r>
    </w:p>
    <w:p>
      <w:pPr>
        <w:pStyle w:val="ListNumber"/>
      </w:pPr>
      <w:r>
        <w:t>Adequar sistemas de cobrança e financeiro ao novo regime;</w:t>
      </w:r>
    </w:p>
    <w:p>
      <w:pPr>
        <w:pStyle w:val="ListNumber"/>
      </w:pPr>
      <w:r>
        <w:t>Manter documentação atualizada para imunidade (filantropia);</w:t>
      </w:r>
    </w:p>
    <w:p>
      <w:pPr>
        <w:pStyle w:val="ListNumber"/>
      </w:pPr>
      <w:r>
        <w:t>Treinar equipe financeira e jurídica em CBS para educação;</w:t>
      </w:r>
    </w:p>
    <w:p>
      <w:pPr>
        <w:pStyle w:val="ListNumber"/>
      </w:pPr>
      <w:r>
        <w:t>Implantar relatório mensal por unidade educacional;</w:t>
      </w:r>
    </w:p>
    <w:p>
      <w:pPr>
        <w:pStyle w:val="ListNumber"/>
      </w:pPr>
      <w:r>
        <w:t>Acompanhar regulamentação CGIBS sobre EAD e cursos livres;</w:t>
      </w:r>
    </w:p>
    <w:tbl>
      <w:tblPr>
        <w:tblW w:type="auto" w:w="0"/>
        <w:tblLook w:firstColumn="1" w:firstRow="1" w:lastColumn="0" w:lastRow="0" w:noHBand="0" w:noVBand="1" w:val="04A0"/>
      </w:tblPr>
      <w:tblGrid>
        <w:gridCol w:w="9689"/>
      </w:tblGrid>
      <w:tr>
        <w:tc>
          <w:tcPr>
            <w:tcW w:type="dxa" w:w="9689"/>
            <w:shd w:val="clear" w:color="auto" w:fill="FFF2CC"/>
          </w:tcPr>
          <w:p>
            <w:r/>
            <w:r>
              <w:rPr>
                <w:b/>
                <w:sz w:val="20"/>
              </w:rPr>
              <w:t>⚠ ATENÇÃO</w:t>
            </w:r>
          </w:p>
          <w:p>
            <w:r>
              <w:rPr>
                <w:sz w:val="22"/>
              </w:rPr>
              <w:t>Diversos dispositivos do Decreto nº 12.955/2026 exigem atos complementares da RFB ou do Comitê Gestor para plena operacionalização. Recomenda-se acompanhamento contínuo da regulamentação durante 2026.</w:t>
            </w:r>
          </w:p>
        </w:tc>
      </w:tr>
    </w:tbl>
    <w:p/>
    <w:p/>
    <w:p>
      <w:pPr>
        <w:jc w:val="center"/>
      </w:pPr>
      <w:r>
        <w:t>──────────────────────────────────────────────────</w:t>
      </w:r>
    </w:p>
    <w:p>
      <w:pPr>
        <w:jc w:val="center"/>
      </w:pPr>
      <w:r>
        <w:rPr>
          <w:i/>
          <w:color w:val="595959"/>
          <w:sz w:val="18"/>
        </w:rPr>
        <w:t>Documento técnico elaborado com base no Decreto nº 12.955, de 29/04/2026.</w:t>
        <w:br/>
      </w:r>
      <w:r>
        <w:rPr>
          <w:i/>
          <w:color w:val="595959"/>
          <w:sz w:val="18"/>
        </w:rPr>
        <w:t>Sujeito a ajustes em razão de atos normativos complementares (RFB/CGIBS) ainda pendentes de publicação.</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