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Análise Setorial — Transporte</w:t>
        <w:br/>
      </w:r>
    </w:p>
    <w:p>
      <w:pPr>
        <w:jc w:val="center"/>
      </w:pPr>
      <w:r>
        <w:rPr>
          <w:color w:val="1F4E79"/>
          <w:sz w:val="28"/>
        </w:rPr>
        <w:t>Reforma Tributária — Impactos da CBS no Setor de Transporte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SETOR-10-Transporte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Contexto Setorial — Transporte</w:t>
      </w:r>
    </w:p>
    <w:p>
      <w:pPr>
        <w:jc w:val="both"/>
      </w:pPr>
      <w:r>
        <w:rPr>
          <w:b w:val="0"/>
          <w:i w:val="0"/>
        </w:rPr>
        <w:t>O setor de transporte tem regramento heterogêneo: transporte coletivo de passageiros (rodoviário, ferroviário, metroviário, aquaviário) tem redução de 60% (art. 471); transporte individual e de carga é tributado pela alíquota cheia. Frete internacional tem alíquota zero por imunidade de exportação. Combustíveis utilizados pelo setor seguem o regime monofásico do art. 169 a 200, gerando crédito relevante para transportadoras de carga.</w:t>
      </w:r>
    </w:p>
    <w:p>
      <w:pPr>
        <w:spacing w:before="240" w:after="120"/>
      </w:pPr>
      <w:r>
        <w:rPr>
          <w:b/>
          <w:color w:val="1F4E79"/>
          <w:sz w:val="30"/>
        </w:rPr>
        <w:t>2. Bloco A — Resumo Executivo</w:t>
      </w:r>
    </w:p>
    <w:p>
      <w:pPr>
        <w:jc w:val="both"/>
      </w:pPr>
      <w:r>
        <w:rPr>
          <w:b w:val="0"/>
          <w:i w:val="0"/>
        </w:rPr>
        <w:t>O Decreto nº 12.955/2026, regulamentando a Lei Complementar nº 214/2025, redefine integralmente o tratamento da Contribuição Social sobre Bens e Serviços (CBS) aplicável ao setor de Transporte. As alterações afetam diretamente cadastro fiscal, formação de preços, gestão de créditos, parametrização do ERP, emissão de documentos fiscais e governança tributária. Em razão da convivência transitória com PIS, COFINS, ICMS e ISS, o setor deverá manter dois ambientes paralelos de apuração ao longo de 2026.</w:t>
      </w:r>
    </w:p>
    <w:p>
      <w:pPr>
        <w:spacing w:before="240" w:after="120"/>
      </w:pPr>
      <w:r>
        <w:rPr>
          <w:b/>
          <w:color w:val="1F4E79"/>
          <w:sz w:val="30"/>
        </w:rPr>
        <w:t>3. Bloco B — Base Legal Aplicável</w:t>
      </w:r>
    </w:p>
    <w:p>
      <w:pPr>
        <w:pStyle w:val="ListBullet"/>
      </w:pPr>
      <w:r>
        <w:t>Constituição Federal — art. 156-A e art. 195, V (EC 132/2023);</w:t>
      </w:r>
    </w:p>
    <w:p>
      <w:pPr>
        <w:pStyle w:val="ListBullet"/>
      </w:pPr>
      <w:r>
        <w:t>Lei Complementar nº 214/2025 — institui CBS, IBS e Imposto Seletivo;</w:t>
      </w:r>
    </w:p>
    <w:p>
      <w:pPr>
        <w:pStyle w:val="ListBullet"/>
      </w:pPr>
      <w:r>
        <w:t>Decreto nº 12.955, de 29 de abril de 2026 — regulamenta a CBS;</w:t>
      </w:r>
    </w:p>
    <w:p>
      <w:pPr>
        <w:pStyle w:val="ListBullet"/>
      </w:pPr>
      <w:r>
        <w:t>Atos complementares da RFB e do Comitê Gestor (em emissão);</w:t>
      </w:r>
    </w:p>
    <w:p>
      <w:pPr>
        <w:spacing w:before="240" w:after="120"/>
      </w:pPr>
      <w:r>
        <w:rPr>
          <w:b/>
          <w:color w:val="1F4E79"/>
          <w:sz w:val="30"/>
        </w:rPr>
        <w:t>4. Bloco C — Principais Alterações para o Setor</w:t>
      </w:r>
    </w:p>
    <w:p>
      <w:pPr>
        <w:pStyle w:val="ListBullet"/>
      </w:pPr>
      <w:r>
        <w:t>Transporte coletivo de passageiros — redução de 60% (art. 471);</w:t>
      </w:r>
    </w:p>
    <w:p>
      <w:pPr>
        <w:pStyle w:val="ListBullet"/>
      </w:pPr>
      <w:r>
        <w:t>Transporte de carga — alíquota cheia, com crédito amplo;</w:t>
      </w:r>
    </w:p>
    <w:p>
      <w:pPr>
        <w:pStyle w:val="ListBullet"/>
      </w:pPr>
      <w:r>
        <w:t>Frete internacional — alíquota zero (imunidade);</w:t>
      </w:r>
    </w:p>
    <w:p>
      <w:pPr>
        <w:pStyle w:val="ListBullet"/>
      </w:pPr>
      <w:r>
        <w:t>Combustíveis — regime monofásico com crédito ao adquirente;</w:t>
      </w:r>
    </w:p>
    <w:p>
      <w:pPr>
        <w:pStyle w:val="ListBullet"/>
      </w:pPr>
      <w:r>
        <w:t>Apps de mobilidade (Uber, 99) têm regime de serviços;</w:t>
      </w:r>
    </w:p>
    <w:p>
      <w:pPr>
        <w:pStyle w:val="ListBullet"/>
      </w:pPr>
      <w:r>
        <w:t>Pedágios e transporte aquaviário com tratamento próprio;</w:t>
      </w:r>
    </w:p>
    <w:p>
      <w:pPr>
        <w:spacing w:before="240" w:after="120"/>
      </w:pPr>
      <w:r>
        <w:rPr>
          <w:b/>
          <w:color w:val="1F4E79"/>
          <w:sz w:val="30"/>
        </w:rPr>
        <w:t>5. Bloco D — Impactos Operacionais por Área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Cadastro de Linhas / Rotas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Classificação fiscal por tipo de transporte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Faturamento (CT-e/CTRC)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Adequação para destaque CBS e regime aplicável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Compras de Combustível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Cálculo do crédito monofásico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Frota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Crédito imediato sobre aquisição de veículos novos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Manutenção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Crédito sobre peças, pneus e oficina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TI / Sistema de Bilhetagem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Integração com regime reduzido de coletivo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6. Regimes Específicos e Diferenciados Aplicáveis</w:t>
      </w:r>
    </w:p>
    <w:p>
      <w:pPr>
        <w:jc w:val="both"/>
      </w:pPr>
      <w:r>
        <w:rPr>
          <w:b w:val="0"/>
          <w:i w:val="0"/>
        </w:rPr>
        <w:t>Transporte coletivo urbano e metropolitano: redução de 60%. Transporte intermunicipal e interestadual de passageiros: redução de 60%. Transporte rodoviário de carga: alíquota cheia com crédito. Aviação comercial: regime específico para combustíveis (QAV). Transporte aquaviário, ferroviário e dutoviário: cada um com regramento. Aplicativos de mobilidade: serviços normalmente tributados.</w:t>
      </w:r>
    </w:p>
    <w:p>
      <w:pPr>
        <w:spacing w:before="240" w:after="120"/>
      </w:pPr>
      <w:r>
        <w:rPr>
          <w:b/>
          <w:color w:val="1F4E79"/>
          <w:sz w:val="30"/>
        </w:rPr>
        <w:t>7. Bloco E — Exemplo Prático Aplicado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Transportadora rodoviária de carga fatura R$ 5.000.000,00 no mês. CBS devida (alíquota cheia 0,9% em 2026): R$ 45.000,00. Compra combustível — regime monofásico — gerando crédito de R$ 10.000,00. Compra peças e pneus: R$ 500.000 × 0,9% = R$ 4.500,00 de crédito. Saldo devedor: R$ 30.500,00. Empresa de ônibus urbano com receita igual aplicaria redução de 60%: CBS devida = R$ 18.000,00.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8. Pontos de Risco e Atenção</w:t>
      </w:r>
    </w:p>
    <w:p>
      <w:pPr>
        <w:pStyle w:val="ListBullet"/>
      </w:pPr>
      <w:r>
        <w:t>Erro na classificação coletivo x carga compromete o benefício;</w:t>
      </w:r>
    </w:p>
    <w:p>
      <w:pPr>
        <w:pStyle w:val="ListBullet"/>
      </w:pPr>
      <w:r>
        <w:t>Combustível adquirido sem rastreabilidade compromete crédito;</w:t>
      </w:r>
    </w:p>
    <w:p>
      <w:pPr>
        <w:pStyle w:val="ListBullet"/>
      </w:pPr>
      <w:r>
        <w:t>Apps de mobilidade têm dúvidas sobre transferência de crédito ao motorista;</w:t>
      </w:r>
    </w:p>
    <w:p>
      <w:pPr>
        <w:pStyle w:val="ListBullet"/>
      </w:pPr>
      <w:r>
        <w:t>Operações intermodais exigem documentação específica;</w:t>
      </w:r>
    </w:p>
    <w:p>
      <w:pPr>
        <w:pStyle w:val="ListBullet"/>
      </w:pPr>
      <w:r>
        <w:t>Frete internacional sem manifesto correto perde imunidade;</w:t>
      </w:r>
    </w:p>
    <w:p>
      <w:pPr>
        <w:spacing w:before="240" w:after="120"/>
      </w:pPr>
      <w:r>
        <w:rPr>
          <w:b/>
          <w:color w:val="1F4E79"/>
          <w:sz w:val="30"/>
        </w:rPr>
        <w:t>9. Bloco F — Plano de Ação Recomendado</w:t>
      </w:r>
    </w:p>
    <w:p>
      <w:pPr>
        <w:pStyle w:val="ListNumber"/>
      </w:pPr>
      <w:r>
        <w:t>Mapear todas as linhas e rotas com classificação fiscal;</w:t>
      </w:r>
    </w:p>
    <w:p>
      <w:pPr>
        <w:pStyle w:val="ListNumber"/>
      </w:pPr>
      <w:r>
        <w:t>Configurar emissão de CT-e com CBS e regime adequado;</w:t>
      </w:r>
    </w:p>
    <w:p>
      <w:pPr>
        <w:pStyle w:val="ListNumber"/>
      </w:pPr>
      <w:r>
        <w:t>Implantar controle de crédito monofásico por veículo / rota;</w:t>
      </w:r>
    </w:p>
    <w:p>
      <w:pPr>
        <w:pStyle w:val="ListNumber"/>
      </w:pPr>
      <w:r>
        <w:t>Avaliar frota em renovação para aproveitamento imediato de crédito;</w:t>
      </w:r>
    </w:p>
    <w:p>
      <w:pPr>
        <w:pStyle w:val="ListNumber"/>
      </w:pPr>
      <w:r>
        <w:t>Revisar contratos de transporte com cláusula de tributação;</w:t>
      </w:r>
    </w:p>
    <w:p>
      <w:pPr>
        <w:pStyle w:val="ListNumber"/>
      </w:pPr>
      <w:r>
        <w:t>Treinar despachantes, fiscal e financeiro em CBS;</w:t>
      </w:r>
    </w:p>
    <w:p>
      <w:pPr>
        <w:pStyle w:val="ListNumber"/>
      </w:pPr>
      <w:r>
        <w:t>Acompanhar regulamentação da ANTT/ANTAQ sobre regimes próprios;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Diversos dispositivos do Decreto nº 12.955/2026 exigem atos complementares da RFB ou do Comitê Gestor para plena operacionalização. Recomenda-se acompanhamento contínuo da regulamentação durante 2026.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