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Análise Setorial — Hotelaria e Turismo</w:t>
        <w:br/>
      </w:r>
    </w:p>
    <w:p>
      <w:pPr>
        <w:jc w:val="center"/>
      </w:pPr>
      <w:r>
        <w:rPr>
          <w:color w:val="1F4E79"/>
          <w:sz w:val="28"/>
        </w:rPr>
        <w:t>Reforma Tributária — Impactos da CBS no Setor de Hotelaria e Turismo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SETOR-11-Hotelaria-Turismo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Contexto Setorial — Hotelaria e Turismo</w:t>
      </w:r>
    </w:p>
    <w:p>
      <w:pPr>
        <w:jc w:val="both"/>
      </w:pPr>
      <w:r>
        <w:rPr>
          <w:b w:val="0"/>
          <w:i w:val="0"/>
        </w:rPr>
        <w:t>Hotelaria, parques de diversão, agências de turismo e organizadores de eventos possuem regime específico no art. 481 do Decreto, com redução de 40% na CBS. Restaurantes em hotéis se beneficiam quando a refeição é parte do pacote. Plataformas digitais (OTAs, Booking, Airbnb) têm responsabilidade solidária. O setor deverá revisar pacotes promocionais, contratos com agências e modelos de comissionamento.</w:t>
      </w:r>
    </w:p>
    <w:p>
      <w:pPr>
        <w:spacing w:before="240" w:after="120"/>
      </w:pPr>
      <w:r>
        <w:rPr>
          <w:b/>
          <w:color w:val="1F4E79"/>
          <w:sz w:val="30"/>
        </w:rPr>
        <w:t>2. Bloco A — Resumo Executivo</w:t>
      </w:r>
    </w:p>
    <w:p>
      <w:pPr>
        <w:jc w:val="both"/>
      </w:pPr>
      <w:r>
        <w:rPr>
          <w:b w:val="0"/>
          <w:i w:val="0"/>
        </w:rPr>
        <w:t>O Decreto nº 12.955/2026, regulamentando a Lei Complementar nº 214/2025, redefine integralmente o tratamento da Contribuição Social sobre Bens e Serviços (CBS) aplicável ao setor de Hotelaria e Turismo. As alterações afetam diretamente cadastro fiscal, formação de preços, gestão de créditos, parametrização do ERP, emissão de documentos fiscais e governança tributária. Em razão da convivência transitória com PIS, COFINS, ICMS e ISS, o setor deverá manter dois ambientes paralelos de apuração ao longo de 2026.</w:t>
      </w:r>
    </w:p>
    <w:p>
      <w:pPr>
        <w:spacing w:before="240" w:after="120"/>
      </w:pPr>
      <w:r>
        <w:rPr>
          <w:b/>
          <w:color w:val="1F4E79"/>
          <w:sz w:val="30"/>
        </w:rPr>
        <w:t>3. Bloco B — Base Legal Aplicável</w:t>
      </w:r>
    </w:p>
    <w:p>
      <w:pPr>
        <w:pStyle w:val="ListBullet"/>
      </w:pPr>
      <w:r>
        <w:t>Constituição Federal — art. 156-A e art. 195, V (EC 132/2023);</w:t>
      </w:r>
    </w:p>
    <w:p>
      <w:pPr>
        <w:pStyle w:val="ListBullet"/>
      </w:pPr>
      <w:r>
        <w:t>Lei Complementar nº 214/2025 — institui CBS, IBS e Imposto Seletivo;</w:t>
      </w:r>
    </w:p>
    <w:p>
      <w:pPr>
        <w:pStyle w:val="ListBullet"/>
      </w:pPr>
      <w:r>
        <w:t>Decreto nº 12.955, de 29 de abril de 2026 — regulamenta a CBS;</w:t>
      </w:r>
    </w:p>
    <w:p>
      <w:pPr>
        <w:pStyle w:val="ListBullet"/>
      </w:pPr>
      <w:r>
        <w:t>Atos complementares da RFB e do Comitê Gestor (em emissão);</w:t>
      </w:r>
    </w:p>
    <w:p>
      <w:pPr>
        <w:spacing w:before="240" w:after="120"/>
      </w:pPr>
      <w:r>
        <w:rPr>
          <w:b/>
          <w:color w:val="1F4E79"/>
          <w:sz w:val="30"/>
        </w:rPr>
        <w:t>4. Bloco C — Principais Alterações para o Setor</w:t>
      </w:r>
    </w:p>
    <w:p>
      <w:pPr>
        <w:pStyle w:val="ListBullet"/>
      </w:pPr>
      <w:r>
        <w:t>Hotelaria e parques de diversão: redução de 40% (art. 481);</w:t>
      </w:r>
    </w:p>
    <w:p>
      <w:pPr>
        <w:pStyle w:val="ListBullet"/>
      </w:pPr>
      <w:r>
        <w:t>Agências de turismo: tratamento como intermediação de serviço;</w:t>
      </w:r>
    </w:p>
    <w:p>
      <w:pPr>
        <w:pStyle w:val="ListBullet"/>
      </w:pPr>
      <w:r>
        <w:t>Plataformas digitais (OTAs): responsabilidade solidária pelo recolhimento;</w:t>
      </w:r>
    </w:p>
    <w:p>
      <w:pPr>
        <w:pStyle w:val="ListBullet"/>
      </w:pPr>
      <w:r>
        <w:t>Pacotes turísticos: tributação composta por componente;</w:t>
      </w:r>
    </w:p>
    <w:p>
      <w:pPr>
        <w:pStyle w:val="ListBullet"/>
      </w:pPr>
      <w:r>
        <w:t>Eventos corporativos: regime de serviços com crédito amplo ao tomador;</w:t>
      </w:r>
    </w:p>
    <w:p>
      <w:pPr>
        <w:pStyle w:val="ListBullet"/>
      </w:pPr>
      <w:r>
        <w:t>Combustível de aviação para turismo: regime monofásico próprio;</w:t>
      </w:r>
    </w:p>
    <w:p>
      <w:pPr>
        <w:spacing w:before="240" w:after="120"/>
      </w:pPr>
      <w:r>
        <w:rPr>
          <w:b/>
          <w:color w:val="1F4E79"/>
          <w:sz w:val="30"/>
        </w:rPr>
        <w:t>5. Bloco D — Impactos Operacionais por Área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Cadastro de Tarifas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Classificação fiscal por tipo de hospedagem / pacote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Faturamento / PMS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Emissão de NFS-e com redução aplicada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OTA / Comissões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Adequação do split payment com plataformas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Restaurantes / A&amp;B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Regime de bares e restaurantes (art. 478)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Eventos / MICE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Tratamento por componente do pacote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Média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Tesouraria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Gestão de crédito sobre insumos hoteleiros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Média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6. Regimes Específicos e Diferenciados Aplicáveis</w:t>
      </w:r>
    </w:p>
    <w:p>
      <w:pPr>
        <w:jc w:val="both"/>
      </w:pPr>
      <w:r>
        <w:rPr>
          <w:b w:val="0"/>
          <w:i w:val="0"/>
        </w:rPr>
        <w:t>Hotéis, pousadas, resorts, hostels e meios de hospedagem em geral: redução de 40%. Agências de turismo: regime de intermediação com tributação sobre comissão. Restaurantes em geral: redução específica de bares e restaurantes. Parques de diversão e centros de lazer: redução de 40%. OTAs: responsáveis solidários. Cruzeiros marítimos: regime próprio. Aluguel temporário (Airbnb): tributação como serviço.</w:t>
      </w:r>
    </w:p>
    <w:p>
      <w:pPr>
        <w:spacing w:before="240" w:after="120"/>
      </w:pPr>
      <w:r>
        <w:rPr>
          <w:b/>
          <w:color w:val="1F4E79"/>
          <w:sz w:val="30"/>
        </w:rPr>
        <w:t>7. Bloco E — Exemplo Prático Aplicado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Hotel fatura diárias e A&amp;B no valor de R$ 1.000.000,00 no mês. R$ 700.000 hospedagem (redução 40% — alíquota efetiva 0,9% × 60% = 0,54% em 2026); R$ 300.000 alimentação. CBS hospedagem: R$ 3.780. CBS A&amp;B: valor conforme regime de bares e restaurantes. Hotel apropria créditos sobre insumos: lavanderia, energia, manutenção, alimentos e bebidas — gerando R$ 4.500 de crédito. Saldo devedor reduzido.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8. Pontos de Risco e Atenção</w:t>
      </w:r>
    </w:p>
    <w:p>
      <w:pPr>
        <w:pStyle w:val="ListBullet"/>
      </w:pPr>
      <w:r>
        <w:t>Plataformas digitais com retenção indevida geram conflito tributário;</w:t>
      </w:r>
    </w:p>
    <w:p>
      <w:pPr>
        <w:pStyle w:val="ListBullet"/>
      </w:pPr>
      <w:r>
        <w:t>Erro na separação hospedagem x A&amp;B x serviços compromete a redução;</w:t>
      </w:r>
    </w:p>
    <w:p>
      <w:pPr>
        <w:pStyle w:val="ListBullet"/>
      </w:pPr>
      <w:r>
        <w:t>Pacotes turísticos com vários componentes precisam de documentação fiscal detalhada;</w:t>
      </w:r>
    </w:p>
    <w:p>
      <w:pPr>
        <w:pStyle w:val="ListBullet"/>
      </w:pPr>
      <w:r>
        <w:t>Comissões de agências precisam de tratamento contratual claro;</w:t>
      </w:r>
    </w:p>
    <w:p>
      <w:pPr>
        <w:pStyle w:val="ListBullet"/>
      </w:pPr>
      <w:r>
        <w:t>Eventos corporativos podem mudar de regime conforme cliente final;</w:t>
      </w:r>
    </w:p>
    <w:p>
      <w:pPr>
        <w:spacing w:before="240" w:after="120"/>
      </w:pPr>
      <w:r>
        <w:rPr>
          <w:b/>
          <w:color w:val="1F4E79"/>
          <w:sz w:val="30"/>
        </w:rPr>
        <w:t>9. Bloco F — Plano de Ação Recomendado</w:t>
      </w:r>
    </w:p>
    <w:p>
      <w:pPr>
        <w:pStyle w:val="ListNumber"/>
      </w:pPr>
      <w:r>
        <w:t>Revisar PMS / sistema hoteleiro para nova classificação fiscal;</w:t>
      </w:r>
    </w:p>
    <w:p>
      <w:pPr>
        <w:pStyle w:val="ListNumber"/>
      </w:pPr>
      <w:r>
        <w:t>Renegociar contratos com OTAs com cláusula de split payment;</w:t>
      </w:r>
    </w:p>
    <w:p>
      <w:pPr>
        <w:pStyle w:val="ListNumber"/>
      </w:pPr>
      <w:r>
        <w:t>Revisar pacotes turísticos com identificação de componentes;</w:t>
      </w:r>
    </w:p>
    <w:p>
      <w:pPr>
        <w:pStyle w:val="ListNumber"/>
      </w:pPr>
      <w:r>
        <w:t>Adequar restaurantes do hotel ao regime de bares e restaurantes;</w:t>
      </w:r>
    </w:p>
    <w:p>
      <w:pPr>
        <w:pStyle w:val="ListNumber"/>
      </w:pPr>
      <w:r>
        <w:t>Treinar recepção, A&amp;B, comercial e financeiro em CBS;</w:t>
      </w:r>
    </w:p>
    <w:p>
      <w:pPr>
        <w:pStyle w:val="ListNumber"/>
      </w:pPr>
      <w:r>
        <w:t>Acompanhar regulamentação CGIBS sobre intermediação digital;</w:t>
      </w:r>
    </w:p>
    <w:p>
      <w:pPr>
        <w:pStyle w:val="ListNumber"/>
      </w:pPr>
      <w:r>
        <w:t>Implantar relatório por unidade habitacional / centro de receita;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Diversos dispositivos do Decreto nº 12.955/2026 exigem atos complementares da RFB ou do Comitê Gestor para plena operacionalização. Recomenda-se acompanhamento contínuo da regulamentação durante 2026.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