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Bares e Restaurantes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em Bares, Restaurantes e Food Service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SETOR-12-Bares-Restaurantes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Bares e Restaurantes</w:t>
      </w:r>
    </w:p>
    <w:p>
      <w:pPr>
        <w:jc w:val="both"/>
      </w:pPr>
      <w:r>
        <w:rPr>
          <w:b w:val="0"/>
          <w:i w:val="0"/>
        </w:rPr>
        <w:t>O regime específico de bares e restaurantes está no art. 478 do Decreto, prevendo redução específica e tratamento simplificado. O setor é intensivo em mão de obra e insumos da cesta básica — combinação que resulta em alta carga aparente, mitigada pela política de créditos. Apps de delivery (iFood, Rappi, etc.) atuam como responsáveis solidários ou plataformas de pagamento, exigindo configuração específica.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Bares e Restaurantes.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Bares e restaurantes: regime específico (art. 478);</w:t>
      </w:r>
    </w:p>
    <w:p>
      <w:pPr>
        <w:pStyle w:val="ListBullet"/>
      </w:pPr>
      <w:r>
        <w:t>Insumos da cesta básica (matéria-prima): alíquota zero — porém venda final é tributada;</w:t>
      </w:r>
    </w:p>
    <w:p>
      <w:pPr>
        <w:pStyle w:val="ListBullet"/>
      </w:pPr>
      <w:r>
        <w:t>Apps de delivery: responsabilidade solidária pelo recolhimento;</w:t>
      </w:r>
    </w:p>
    <w:p>
      <w:pPr>
        <w:pStyle w:val="ListBullet"/>
      </w:pPr>
      <w:r>
        <w:t>Buffet, eventos e catering: regime de serviços de alimentação;</w:t>
      </w:r>
    </w:p>
    <w:p>
      <w:pPr>
        <w:pStyle w:val="ListBullet"/>
      </w:pPr>
      <w:r>
        <w:t>Self-service e quilo: tributação por valor cobrado;</w:t>
      </w:r>
    </w:p>
    <w:p>
      <w:pPr>
        <w:pStyle w:val="ListBullet"/>
      </w:pPr>
      <w:r>
        <w:t>Bebidas alcoólicas: regime específico próprio (art. 220);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Cardápio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Classificação fiscal por prato e ingrediente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PDV / TEF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Adequação para CBS, split payment e demonstração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Compras Insumos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Identificação de cesta básica zerada e demais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Apps de Delivery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Configuração de retenção / split payment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Eventos / Buffet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Regime de serviços de alimentação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Bebidas Alcoólicas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Regime específico do art. 220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Bares, restaurantes, lanchonetes, cafeterias, sorveterias, padarias com consumo no local: regime do art. 478. Buffet, catering e serviços para eventos: alimentação coletiva. Apps de delivery: plataforma digital com responsabilidade solidária. Bebidas alcoólicas: regime monofásico do art. 220 a 244. Itens da cesta básica comprados como insumo: alíquota zero, mas a venda do prato é tributada normalmente.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Restaurante fatura R$ 200.000,00 no mês (R$ 150.000 alimentação + R$ 50.000 bebidas). Alimentação no regime do art. 478, alíquota efetiva CBS 2026: 0,9% — devida R$ 1.350. Bebidas alcoólicas no regime monofásico — venda já com CBS recolhida pelo industrial. Insumos: arroz e feijão (cesta básica, R$ 30.000) gerando crédito zero; carnes (R$ 40.000 × 0,9%) crédito de R$ 360. Saldo devedor: R$ 990. Por delivery (iFood), há split payment automático na adquirente.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Erro na classificação de pratos (alimento x serviço) impacta CBS;</w:t>
      </w:r>
    </w:p>
    <w:p>
      <w:pPr>
        <w:pStyle w:val="ListBullet"/>
      </w:pPr>
      <w:r>
        <w:t>Insumos da cesta básica não geram crédito — afeta margem;</w:t>
      </w:r>
    </w:p>
    <w:p>
      <w:pPr>
        <w:pStyle w:val="ListBullet"/>
      </w:pPr>
      <w:r>
        <w:t>Apps de delivery com retenção mal configurada geram bitributação;</w:t>
      </w:r>
    </w:p>
    <w:p>
      <w:pPr>
        <w:pStyle w:val="ListBullet"/>
      </w:pPr>
      <w:r>
        <w:t>Bebidas alcoólicas no regime monofásico exigem rastreabilidade;</w:t>
      </w:r>
    </w:p>
    <w:p>
      <w:pPr>
        <w:pStyle w:val="ListBullet"/>
      </w:pPr>
      <w:r>
        <w:t>Eventos e buffet podem ter regime diverso por contrato;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Mapear cardápio com classificação fiscal por prato;</w:t>
      </w:r>
    </w:p>
    <w:p>
      <w:pPr>
        <w:pStyle w:val="ListNumber"/>
      </w:pPr>
      <w:r>
        <w:t>Configurar PDV e TEF para CBS, split payment e demonstração;</w:t>
      </w:r>
    </w:p>
    <w:p>
      <w:pPr>
        <w:pStyle w:val="ListNumber"/>
      </w:pPr>
      <w:r>
        <w:t>Revisar contratos com apps de delivery (cláusula tributária);</w:t>
      </w:r>
    </w:p>
    <w:p>
      <w:pPr>
        <w:pStyle w:val="ListNumber"/>
      </w:pPr>
      <w:r>
        <w:t>Adequar apuração para regime do art. 478;</w:t>
      </w:r>
    </w:p>
    <w:p>
      <w:pPr>
        <w:pStyle w:val="ListNumber"/>
      </w:pPr>
      <w:r>
        <w:t>Treinar caixa, operação e financeiro em CBS;</w:t>
      </w:r>
    </w:p>
    <w:p>
      <w:pPr>
        <w:pStyle w:val="ListNumber"/>
      </w:pPr>
      <w:r>
        <w:t>Negociar com fornecedores de bebidas alcoólicas o regime monofásico;</w:t>
      </w:r>
    </w:p>
    <w:p>
      <w:pPr>
        <w:pStyle w:val="ListNumber"/>
      </w:pPr>
      <w:r>
        <w:t>Implantar gestão de margem com novo crédito reduzido;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