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Cooperativas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no Setor Cooperativista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SETOR-13-Cooperativas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Cooperativas</w:t>
      </w:r>
    </w:p>
    <w:p>
      <w:pPr>
        <w:jc w:val="both"/>
      </w:pPr>
      <w:r>
        <w:rPr>
          <w:b w:val="0"/>
          <w:i w:val="0"/>
        </w:rPr>
        <w:t>As cooperativas têm regime específico nos arts. 305 a 320 do Decreto, com possibilidade de optar pelo regime cooperativo (não tributação dos atos cooperativos próprios) ou regime regular. O cooperativismo agropecuário, de crédito, de saúde, educacional e de transporte é amplamente impactado. O ato cooperativo é fora da incidência da CBS, mas o ato de mercado (operações com não cooperados) é tributado.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Cooperativas.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Regime opcional cooperativo (art. 305) — não incidência do ato cooperativo;</w:t>
      </w:r>
    </w:p>
    <w:p>
      <w:pPr>
        <w:pStyle w:val="ListBullet"/>
      </w:pPr>
      <w:r>
        <w:t>Cooperativas que optam pelo regime regular podem transferir crédito ao adquirente;</w:t>
      </w:r>
    </w:p>
    <w:p>
      <w:pPr>
        <w:pStyle w:val="ListBullet"/>
      </w:pPr>
      <w:r>
        <w:t>Atos com não cooperados (ato de mercado) são tributados normalmente;</w:t>
      </w:r>
    </w:p>
    <w:p>
      <w:pPr>
        <w:pStyle w:val="ListBullet"/>
      </w:pPr>
      <w:r>
        <w:t>Cooperativas de crédito têm regime específico do sistema financeiro;</w:t>
      </w:r>
    </w:p>
    <w:p>
      <w:pPr>
        <w:pStyle w:val="ListBullet"/>
      </w:pPr>
      <w:r>
        <w:t>Cooperativas de saúde aplicam redução de 60%;</w:t>
      </w:r>
    </w:p>
    <w:p>
      <w:pPr>
        <w:pStyle w:val="ListBullet"/>
      </w:pPr>
      <w:r>
        <w:t>Cooperativas educacionais aplicam redução de 60%;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 de Cooperados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Identificação de operações de cooperado x não cooperado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Apuração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Segregação atos cooperativos x atos de mercado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TI / ERP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Configuração de regime opcional ou regular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Comercial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Política de comercialização externa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Faturamento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NF-e com regime e CST adequados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Governança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Decisão estatutária sobre regime aplicável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Cooperativa pode optar pelo regime cooperativo (não incidência sobre atos próprios) ou regime regular. Cooperativas de crédito: regime financeiro do art. 245. Cooperativas de saúde (Unimed, Uniodonto): redução de 60%. Cooperativas educacionais: redução de 60%. Cooperativas de transporte: regime de transporte aplicável. Cooperativas agropecuárias: combinação com regimes do agronegócio (cesta básica, insumos).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Cooperativa agropecuária recebe produção de cooperados (R$ 5.000.000) e vende a terceiros (R$ 5.500.000). Optando pelo regime cooperativo: ato cooperativo (recebimento) sem CBS; venda a terceiros tributada na alíquota cheia 0,9% em 2026 = R$ 49.500. Optando pelo regime regular: tributação ampla com possibilidade de transferir crédito ao varejista. A escolha depende de estudo tributário caso a caso.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Estatuto desatualizado pode impedir a opção pelo regime cooperativo;</w:t>
      </w:r>
    </w:p>
    <w:p>
      <w:pPr>
        <w:pStyle w:val="ListBullet"/>
      </w:pPr>
      <w:r>
        <w:t>Mistura de atos cooperativos com de mercado sem segregação gera autuação;</w:t>
      </w:r>
    </w:p>
    <w:p>
      <w:pPr>
        <w:pStyle w:val="ListBullet"/>
      </w:pPr>
      <w:r>
        <w:t>Ato com cooperado em situação irregular pode ser desclassificado;</w:t>
      </w:r>
    </w:p>
    <w:p>
      <w:pPr>
        <w:pStyle w:val="ListBullet"/>
      </w:pPr>
      <w:r>
        <w:t>Demora em decisão estatutária impacta apuração de 2026;</w:t>
      </w:r>
    </w:p>
    <w:p>
      <w:pPr>
        <w:pStyle w:val="ListBullet"/>
      </w:pPr>
      <w:r>
        <w:t>Crédito presumido em operações com cooperados precisa regulamentação CGIBS;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Realizar estudo tributário comparativo (regime cooperativo x regular);</w:t>
      </w:r>
    </w:p>
    <w:p>
      <w:pPr>
        <w:pStyle w:val="ListNumber"/>
      </w:pPr>
      <w:r>
        <w:t>Atualizar estatuto e regimentos conforme decisão tomada;</w:t>
      </w:r>
    </w:p>
    <w:p>
      <w:pPr>
        <w:pStyle w:val="ListNumber"/>
      </w:pPr>
      <w:r>
        <w:t>Configurar ERP para segregação de atos;</w:t>
      </w:r>
    </w:p>
    <w:p>
      <w:pPr>
        <w:pStyle w:val="ListNumber"/>
      </w:pPr>
      <w:r>
        <w:t>Cadastrar cooperados com indicador de regime;</w:t>
      </w:r>
    </w:p>
    <w:p>
      <w:pPr>
        <w:pStyle w:val="ListNumber"/>
      </w:pPr>
      <w:r>
        <w:t>Treinar governança, jurídico e fiscal em regime cooperativo;</w:t>
      </w:r>
    </w:p>
    <w:p>
      <w:pPr>
        <w:pStyle w:val="ListNumber"/>
      </w:pPr>
      <w:r>
        <w:t>Acompanhar regulamentação CGIBS específica para cooperativas;</w:t>
      </w:r>
    </w:p>
    <w:p>
      <w:pPr>
        <w:pStyle w:val="ListNumber"/>
      </w:pPr>
      <w:r>
        <w:t>Implantar dashboard de apuração mensal por tipo de ato;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