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br/>
        <w:br/>
        <w:t>REFORMA TRIBUTÁRIA — CBS</w:t>
      </w:r>
    </w:p>
    <w:p>
      <w:pPr>
        <w:jc w:val="center"/>
      </w:pPr>
      <w:r>
        <w:rPr>
          <w:i/>
          <w:color w:val="595959"/>
          <w:sz w:val="26"/>
        </w:rPr>
        <w:t>Decreto nº 12.955, de 29 de abril de 2026</w:t>
      </w:r>
    </w:p>
    <w:p>
      <w:pPr>
        <w:jc w:val="center"/>
      </w:pPr>
      <w:r>
        <w:rPr>
          <w:b/>
          <w:color w:val="0B3D91"/>
          <w:sz w:val="56"/>
        </w:rPr>
        <w:br/>
        <w:br/>
        <w:t>Análise Setorial — Telecomunicações e Utilities (Energia, Água, Saneamento)</w:t>
        <w:br/>
      </w:r>
    </w:p>
    <w:p>
      <w:pPr>
        <w:jc w:val="center"/>
      </w:pPr>
      <w:r>
        <w:rPr>
          <w:color w:val="1F4E79"/>
          <w:sz w:val="28"/>
        </w:rPr>
        <w:t>Reforma Tributária — Impactos da CBS no Setor de Telecom e Utilities</w:t>
      </w:r>
    </w:p>
    <w:p/>
    <w:p/>
    <w:p/>
    <w:p/>
    <w:p/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Código do Documento</w:t>
            </w:r>
          </w:p>
        </w:tc>
        <w:tc>
          <w:tcPr>
            <w:tcW w:type="dxa" w:w="4844"/>
          </w:tcPr>
          <w:p>
            <w:r>
              <w:t>SETOR-14-Telecom-Utilities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Data de Elaboração</w:t>
            </w:r>
          </w:p>
        </w:tc>
        <w:tc>
          <w:tcPr>
            <w:tcW w:type="dxa" w:w="4844"/>
          </w:tcPr>
          <w:p>
            <w:r>
              <w:t>30/04/2026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Autor Técnico</w:t>
            </w:r>
          </w:p>
        </w:tc>
        <w:tc>
          <w:tcPr>
            <w:tcW w:type="dxa" w:w="4844"/>
          </w:tcPr>
          <w:p>
            <w:r>
              <w:t>ALLAN MARCIO — Consultor Tributário Sênior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Base Normativa</w:t>
            </w:r>
          </w:p>
        </w:tc>
        <w:tc>
          <w:tcPr>
            <w:tcW w:type="dxa" w:w="4844"/>
          </w:tcPr>
          <w:p>
            <w:r>
              <w:t>LC 214/2025; Decreto nº 12.955/2026; EC 132/2023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b/>
          <w:color w:val="0B3D91"/>
          <w:sz w:val="40"/>
        </w:rPr>
        <w:t>1. Contexto Setorial — Telecomunicações e Utilities</w:t>
      </w:r>
    </w:p>
    <w:p>
      <w:pPr>
        <w:jc w:val="both"/>
      </w:pPr>
      <w:r>
        <w:rPr>
          <w:b w:val="0"/>
          <w:i w:val="0"/>
        </w:rPr>
        <w:t>Telecomunicações, energia elétrica, distribuição de gás, água e saneamento são serviços essenciais com alto volume e regulação setorial intensa (Anatel, Aneel, Ana). A CBS substitui PIS/COFINS em todos esses setores. Famílias do CadÚnico recebem cashback em luz, água e gás (art. 492 a 514). Há grande impacto na tarifa final e na demonstração tributária na fatura.</w:t>
      </w:r>
    </w:p>
    <w:p>
      <w:pPr>
        <w:spacing w:before="240" w:after="120"/>
      </w:pPr>
      <w:r>
        <w:rPr>
          <w:b/>
          <w:color w:val="1F4E79"/>
          <w:sz w:val="30"/>
        </w:rPr>
        <w:t>2. Bloco A — Resumo Executivo</w:t>
      </w:r>
    </w:p>
    <w:p>
      <w:pPr>
        <w:jc w:val="both"/>
      </w:pPr>
      <w:r>
        <w:rPr>
          <w:b w:val="0"/>
          <w:i w:val="0"/>
        </w:rPr>
        <w:t>O Decreto nº 12.955/2026, regulamentando a Lei Complementar nº 214/2025, redefine integralmente o tratamento da Contribuição Social sobre Bens e Serviços (CBS) aplicável ao setor de Telecomunicações e Utilities. As alterações afetam diretamente cadastro fiscal, formação de preços, gestão de créditos, parametrização do ERP, emissão de documentos fiscais e governança tributária. Em razão da convivência transitória com PIS, COFINS, ICMS e ISS, o setor deverá manter dois ambientes paralelos de apuração ao longo de 2026.</w:t>
      </w:r>
    </w:p>
    <w:p>
      <w:pPr>
        <w:spacing w:before="240" w:after="120"/>
      </w:pPr>
      <w:r>
        <w:rPr>
          <w:b/>
          <w:color w:val="1F4E79"/>
          <w:sz w:val="30"/>
        </w:rPr>
        <w:t>3. Bloco B — Base Legal Aplicável</w:t>
      </w:r>
    </w:p>
    <w:p>
      <w:pPr>
        <w:pStyle w:val="ListBullet"/>
      </w:pPr>
      <w:r>
        <w:t>Constituição Federal — art. 156-A e art. 195, V (EC 132/2023);</w:t>
      </w:r>
    </w:p>
    <w:p>
      <w:pPr>
        <w:pStyle w:val="ListBullet"/>
      </w:pPr>
      <w:r>
        <w:t>Lei Complementar nº 214/2025 — institui CBS, IBS e Imposto Seletivo;</w:t>
      </w:r>
    </w:p>
    <w:p>
      <w:pPr>
        <w:pStyle w:val="ListBullet"/>
      </w:pPr>
      <w:r>
        <w:t>Decreto nº 12.955, de 29 de abril de 2026 — regulamenta a CBS;</w:t>
      </w:r>
    </w:p>
    <w:p>
      <w:pPr>
        <w:pStyle w:val="ListBullet"/>
      </w:pPr>
      <w:r>
        <w:t>Atos complementares da RFB e do Comitê Gestor (em emissão);</w:t>
      </w:r>
    </w:p>
    <w:p>
      <w:pPr>
        <w:spacing w:before="240" w:after="120"/>
      </w:pPr>
      <w:r>
        <w:rPr>
          <w:b/>
          <w:color w:val="1F4E79"/>
          <w:sz w:val="30"/>
        </w:rPr>
        <w:t>4. Bloco C — Principais Alterações para o Setor</w:t>
      </w:r>
    </w:p>
    <w:p>
      <w:pPr>
        <w:pStyle w:val="ListBullet"/>
      </w:pPr>
      <w:r>
        <w:t>CBS substitui PIS e COFINS em todas as linhas de receita;</w:t>
      </w:r>
    </w:p>
    <w:p>
      <w:pPr>
        <w:pStyle w:val="ListBullet"/>
      </w:pPr>
      <w:r>
        <w:t>Cashback CadÚnico em luz, gás canalizado e água (art. 492);</w:t>
      </w:r>
    </w:p>
    <w:p>
      <w:pPr>
        <w:pStyle w:val="ListBullet"/>
      </w:pPr>
      <w:r>
        <w:t>Demonstração tributária obrigatória na fatura (art. 18);</w:t>
      </w:r>
    </w:p>
    <w:p>
      <w:pPr>
        <w:pStyle w:val="ListBullet"/>
      </w:pPr>
      <w:r>
        <w:t>Crédito amplo sobre infraestrutura, manutenção e bens duradouros;</w:t>
      </w:r>
    </w:p>
    <w:p>
      <w:pPr>
        <w:pStyle w:val="ListBullet"/>
      </w:pPr>
      <w:r>
        <w:t>Taxas regulatórias mantidas fora da base de cálculo;</w:t>
      </w:r>
    </w:p>
    <w:p>
      <w:pPr>
        <w:pStyle w:val="ListBullet"/>
      </w:pPr>
      <w:r>
        <w:t>Termoelétricas a combustível: regime monofásico aplicável;</w:t>
      </w:r>
    </w:p>
    <w:p>
      <w:pPr>
        <w:spacing w:before="240" w:after="120"/>
      </w:pPr>
      <w:r>
        <w:rPr>
          <w:b/>
          <w:color w:val="1F4E79"/>
          <w:sz w:val="30"/>
        </w:rPr>
        <w:t>5. Bloco D — Impactos Operacionais por Área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Criticidade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Faturamento de Massa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Adequação de millhões de faturas com CBS e cashback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Crítica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Sistema de Tarifação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Reparametrização de cálculo CBS por linha de produto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Crítica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Cadastro de Clientes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Identificação CadÚnico para cashback automático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Compras / CAPEX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Aproveitamento ampliado de crédito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Regulatório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Comunicação à Anatel/Aneel/Ana sobre repasses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Crítica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Atendimento ao Cliente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Capacitação para explicar CBS na fatura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Média</w:t>
            </w:r>
          </w:p>
        </w:tc>
      </w:tr>
    </w:tbl>
    <w:p/>
    <w:p>
      <w:pPr>
        <w:spacing w:before="240" w:after="120"/>
      </w:pPr>
      <w:r>
        <w:rPr>
          <w:b/>
          <w:color w:val="1F4E79"/>
          <w:sz w:val="30"/>
        </w:rPr>
        <w:t>6. Regimes Específicos e Diferenciados Aplicáveis</w:t>
      </w:r>
    </w:p>
    <w:p>
      <w:pPr>
        <w:jc w:val="both"/>
      </w:pPr>
      <w:r>
        <w:rPr>
          <w:b w:val="0"/>
          <w:i w:val="0"/>
        </w:rPr>
        <w:t>Telecom: regime regular CBS. Energia elétrica: regime regular com particularidades para grandes consumidores. Distribuição de gás canalizado: regime regular com cashback CadÚnico. Saneamento: regime regular com cashback. Geração termoelétrica a combustível: regime monofásico do art. 169 para combustível. Streaming e serviços OTT: regime regular como serviços digitais.</w:t>
      </w:r>
    </w:p>
    <w:p>
      <w:pPr>
        <w:spacing w:before="240" w:after="120"/>
      </w:pPr>
      <w:r>
        <w:rPr>
          <w:b/>
          <w:color w:val="1F4E79"/>
          <w:sz w:val="30"/>
        </w:rPr>
        <w:t>7. Bloco E — Exemplo Prático Aplicado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DDEBF7"/>
          </w:tcPr>
          <w:p>
            <w:r/>
            <w:r>
              <w:rPr>
                <w:b/>
                <w:sz w:val="20"/>
              </w:rPr>
              <w:t>ℹ INFORMAÇÃO TÉCNICA</w:t>
            </w:r>
          </w:p>
          <w:p>
            <w:r>
              <w:rPr>
                <w:sz w:val="22"/>
              </w:rPr>
              <w:t>Distribuidora de energia fatura R$ 500.000.000,00 no mês. Alíquota CBS 2026: 0,9%. CBS bruta: R$ 4.500.000. Famílias CadÚnico têm cashback automático sobre componentes da fatura — operadora destaca o valor e a dedução. Crédito sobre CAPEX e manutenção (R$ 100.000.000): R$ 900.000. Saldo devedor: R$ 3.600.000. Cliente CadÚnico recebe cashback diretamente na fatura, com sistemática e regulamentação CGIBS pendente.</w:t>
            </w:r>
          </w:p>
        </w:tc>
      </w:tr>
    </w:tbl>
    <w:p/>
    <w:p>
      <w:pPr>
        <w:spacing w:before="240" w:after="120"/>
      </w:pPr>
      <w:r>
        <w:rPr>
          <w:b/>
          <w:color w:val="1F4E79"/>
          <w:sz w:val="30"/>
        </w:rPr>
        <w:t>8. Pontos de Risco e Atenção</w:t>
      </w:r>
    </w:p>
    <w:p>
      <w:pPr>
        <w:pStyle w:val="ListBullet"/>
      </w:pPr>
      <w:r>
        <w:t>Sistema de tarifação não adaptado é o maior risco operacional;</w:t>
      </w:r>
    </w:p>
    <w:p>
      <w:pPr>
        <w:pStyle w:val="ListBullet"/>
      </w:pPr>
      <w:r>
        <w:t>Cashback mal configurado pode gerar autuação ou ação coletiva;</w:t>
      </w:r>
    </w:p>
    <w:p>
      <w:pPr>
        <w:pStyle w:val="ListBullet"/>
      </w:pPr>
      <w:r>
        <w:t>Demonstração tributária errada na fatura é infração regulatória;</w:t>
      </w:r>
    </w:p>
    <w:p>
      <w:pPr>
        <w:pStyle w:val="ListBullet"/>
      </w:pPr>
      <w:r>
        <w:t>Pessoa física inadimplente x cashback exige tratamento contratual;</w:t>
      </w:r>
    </w:p>
    <w:p>
      <w:pPr>
        <w:pStyle w:val="ListBullet"/>
      </w:pPr>
      <w:r>
        <w:t>Repasse à tarifa precisa autorização das agências reguladoras;</w:t>
      </w:r>
    </w:p>
    <w:p>
      <w:pPr>
        <w:spacing w:before="240" w:after="120"/>
      </w:pPr>
      <w:r>
        <w:rPr>
          <w:b/>
          <w:color w:val="1F4E79"/>
          <w:sz w:val="30"/>
        </w:rPr>
        <w:t>9. Bloco F — Plano de Ação Recomendado</w:t>
      </w:r>
    </w:p>
    <w:p>
      <w:pPr>
        <w:pStyle w:val="ListNumber"/>
      </w:pPr>
      <w:r>
        <w:t>Iniciar imediatamente projeto de adequação do sistema de tarifação;</w:t>
      </w:r>
    </w:p>
    <w:p>
      <w:pPr>
        <w:pStyle w:val="ListNumber"/>
      </w:pPr>
      <w:r>
        <w:t>Integrar com base CadÚnico para automatização do cashback;</w:t>
      </w:r>
    </w:p>
    <w:p>
      <w:pPr>
        <w:pStyle w:val="ListNumber"/>
      </w:pPr>
      <w:r>
        <w:t>Comunicar agências reguladoras sobre o cronograma de implantação;</w:t>
      </w:r>
    </w:p>
    <w:p>
      <w:pPr>
        <w:pStyle w:val="ListNumber"/>
      </w:pPr>
      <w:r>
        <w:t>Adequar canais de atendimento para esclarecer a CBS;</w:t>
      </w:r>
    </w:p>
    <w:p>
      <w:pPr>
        <w:pStyle w:val="ListNumber"/>
      </w:pPr>
      <w:r>
        <w:t>Implantar painel de monitoramento mensal por concessão;</w:t>
      </w:r>
    </w:p>
    <w:p>
      <w:pPr>
        <w:pStyle w:val="ListNumber"/>
      </w:pPr>
      <w:r>
        <w:t>Acompanhar regulamentação CGIBS sobre cashback;</w:t>
      </w:r>
    </w:p>
    <w:p>
      <w:pPr>
        <w:pStyle w:val="ListNumber"/>
      </w:pPr>
      <w:r>
        <w:t>Reservar capacidade de TI para o pico de testes em 2026;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2CC"/>
          </w:tcPr>
          <w:p>
            <w:r/>
            <w:r>
              <w:rPr>
                <w:b/>
                <w:sz w:val="20"/>
              </w:rPr>
              <w:t>⚠ ATENÇÃO</w:t>
            </w:r>
          </w:p>
          <w:p>
            <w:r>
              <w:rPr>
                <w:sz w:val="22"/>
              </w:rPr>
              <w:t>Diversos dispositivos do Decreto nº 12.955/2026 exigem atos complementares da RFB ou do Comitê Gestor para plena operacionalização. Recomenda-se acompanhamento contínuo da regulamentação durante 2026.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595959"/>
          <w:sz w:val="18"/>
        </w:rPr>
        <w:t>Documento técnico elaborado com base no Decreto nº 12.955, de 29/04/2026.</w:t>
        <w:br/>
      </w:r>
      <w:r>
        <w:rPr>
          <w:i/>
          <w:color w:val="595959"/>
          <w:sz w:val="18"/>
        </w:rPr>
        <w:t>Sujeito a ajustes em razão de atos normativos complementares (RFB/CGIBS) ainda pendentes de publicação.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