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8"/>
        </w:rPr>
        <w:br/>
        <w:br/>
        <w:t>REFORMA TRIBUTÁRIA — CBS</w:t>
      </w:r>
    </w:p>
    <w:p>
      <w:pPr>
        <w:jc w:val="center"/>
      </w:pPr>
      <w:r>
        <w:rPr>
          <w:i/>
          <w:color w:val="595959"/>
          <w:sz w:val="26"/>
        </w:rPr>
        <w:t>Decreto nº 12.955, de 29 de abril de 2026</w:t>
      </w:r>
    </w:p>
    <w:p>
      <w:pPr>
        <w:jc w:val="center"/>
      </w:pPr>
      <w:r>
        <w:rPr>
          <w:b/>
          <w:color w:val="0B3D91"/>
          <w:sz w:val="56"/>
        </w:rPr>
        <w:br/>
        <w:br/>
        <w:t>Análise Setorial — Tecnologia / Software / E-commerce</w:t>
        <w:br/>
      </w:r>
    </w:p>
    <w:p>
      <w:pPr>
        <w:jc w:val="center"/>
      </w:pPr>
      <w:r>
        <w:rPr>
          <w:color w:val="1F4E79"/>
          <w:sz w:val="28"/>
        </w:rPr>
        <w:t>Reforma Tributária — Impactos da CBS no Setor de Tecnologia e Plataformas Digitais</w:t>
      </w:r>
    </w:p>
    <w:p/>
    <w:p/>
    <w:p/>
    <w:p/>
    <w:p/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Código do Documento</w:t>
            </w:r>
          </w:p>
        </w:tc>
        <w:tc>
          <w:tcPr>
            <w:tcW w:type="dxa" w:w="4844"/>
          </w:tcPr>
          <w:p>
            <w:r>
              <w:t>SETOR-15-Tecnologia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Data de Elaboração</w:t>
            </w:r>
          </w:p>
        </w:tc>
        <w:tc>
          <w:tcPr>
            <w:tcW w:type="dxa" w:w="4844"/>
          </w:tcPr>
          <w:p>
            <w:r>
              <w:t>30/04/2026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Autor Técnico</w:t>
            </w:r>
          </w:p>
        </w:tc>
        <w:tc>
          <w:tcPr>
            <w:tcW w:type="dxa" w:w="4844"/>
          </w:tcPr>
          <w:p>
            <w:r>
              <w:t>ALLAN MARCIO — Consultor Tributário Sênior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Base Normativa</w:t>
            </w:r>
          </w:p>
        </w:tc>
        <w:tc>
          <w:tcPr>
            <w:tcW w:type="dxa" w:w="4844"/>
          </w:tcPr>
          <w:p>
            <w:r>
              <w:t>LC 214/2025; Decreto nº 12.955/2026; EC 132/2023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b/>
          <w:color w:val="0B3D91"/>
          <w:sz w:val="40"/>
        </w:rPr>
        <w:t>1. Contexto Setorial — Tecnologia / Software / E-commerce</w:t>
      </w:r>
    </w:p>
    <w:p>
      <w:pPr>
        <w:jc w:val="both"/>
      </w:pPr>
      <w:r>
        <w:rPr>
          <w:b w:val="0"/>
          <w:i w:val="0"/>
        </w:rPr>
        <w:t>O setor de tecnologia engloba software, serviços de tecnologia (SaaS, PaaS, IaaS), e-commerce, marketplaces, plataformas digitais e startups. Plataformas digitais têm responsabilidade solidária expressa pela LC 214/2025. Software é serviço sob a NBS e tributado pela CBS na alíquota cheia. Marketplaces precisam reter e recolher CBS de operações em sua plataforma. E-commerce internacional (cross-border) tem tratamento específico.</w:t>
      </w:r>
    </w:p>
    <w:p>
      <w:pPr>
        <w:spacing w:before="240" w:after="120"/>
      </w:pPr>
      <w:r>
        <w:rPr>
          <w:b/>
          <w:color w:val="1F4E79"/>
          <w:sz w:val="30"/>
        </w:rPr>
        <w:t>2. Bloco A — Resumo Executivo</w:t>
      </w:r>
    </w:p>
    <w:p>
      <w:pPr>
        <w:jc w:val="both"/>
      </w:pPr>
      <w:r>
        <w:rPr>
          <w:b w:val="0"/>
          <w:i w:val="0"/>
        </w:rPr>
        <w:t>O Decreto nº 12.955/2026, regulamentando a Lei Complementar nº 214/2025, redefine integralmente o tratamento da Contribuição Social sobre Bens e Serviços (CBS) aplicável ao setor de Tecnologia / Software / E-commerce. As alterações afetam diretamente cadastro fiscal, formação de preços, gestão de créditos, parametrização do ERP, emissão de documentos fiscais e governança tributária. Em razão da convivência transitória com PIS, COFINS, ICMS e ISS, o setor deverá manter dois ambientes paralelos de apuração ao longo de 2026.</w:t>
      </w:r>
    </w:p>
    <w:p>
      <w:pPr>
        <w:spacing w:before="240" w:after="120"/>
      </w:pPr>
      <w:r>
        <w:rPr>
          <w:b/>
          <w:color w:val="1F4E79"/>
          <w:sz w:val="30"/>
        </w:rPr>
        <w:t>3. Bloco B — Base Legal Aplicável</w:t>
      </w:r>
    </w:p>
    <w:p>
      <w:pPr>
        <w:pStyle w:val="ListBullet"/>
      </w:pPr>
      <w:r>
        <w:t>Constituição Federal — art. 156-A e art. 195, V (EC 132/2023);</w:t>
      </w:r>
    </w:p>
    <w:p>
      <w:pPr>
        <w:pStyle w:val="ListBullet"/>
      </w:pPr>
      <w:r>
        <w:t>Lei Complementar nº 214/2025 — institui CBS, IBS e Imposto Seletivo;</w:t>
      </w:r>
    </w:p>
    <w:p>
      <w:pPr>
        <w:pStyle w:val="ListBullet"/>
      </w:pPr>
      <w:r>
        <w:t>Decreto nº 12.955, de 29 de abril de 2026 — regulamenta a CBS;</w:t>
      </w:r>
    </w:p>
    <w:p>
      <w:pPr>
        <w:pStyle w:val="ListBullet"/>
      </w:pPr>
      <w:r>
        <w:t>Atos complementares da RFB e do Comitê Gestor (em emissão);</w:t>
      </w:r>
    </w:p>
    <w:p>
      <w:pPr>
        <w:spacing w:before="240" w:after="120"/>
      </w:pPr>
      <w:r>
        <w:rPr>
          <w:b/>
          <w:color w:val="1F4E79"/>
          <w:sz w:val="30"/>
        </w:rPr>
        <w:t>4. Bloco C — Principais Alterações para o Setor</w:t>
      </w:r>
    </w:p>
    <w:p>
      <w:pPr>
        <w:pStyle w:val="ListBullet"/>
      </w:pPr>
      <w:r>
        <w:t>Plataformas digitais — responsabilidade solidária (art. 23 LC 214/2025);</w:t>
      </w:r>
    </w:p>
    <w:p>
      <w:pPr>
        <w:pStyle w:val="ListBullet"/>
      </w:pPr>
      <w:r>
        <w:t>Software / SaaS — alíquota cheia, com crédito amplo ao tomador PJ;</w:t>
      </w:r>
    </w:p>
    <w:p>
      <w:pPr>
        <w:pStyle w:val="ListBullet"/>
      </w:pPr>
      <w:r>
        <w:t>Marketplaces — retenção / split payment em operações de terceiros;</w:t>
      </w:r>
    </w:p>
    <w:p>
      <w:pPr>
        <w:pStyle w:val="ListBullet"/>
      </w:pPr>
      <w:r>
        <w:t>Cross-border B2C — CBS no destino (Brasil é destino);</w:t>
      </w:r>
    </w:p>
    <w:p>
      <w:pPr>
        <w:pStyle w:val="ListBullet"/>
      </w:pPr>
      <w:r>
        <w:t>Serviços digitais para PF estrangeira → exportação imune;</w:t>
      </w:r>
    </w:p>
    <w:p>
      <w:pPr>
        <w:pStyle w:val="ListBullet"/>
      </w:pPr>
      <w:r>
        <w:t>Aplicativos de mobilidade e delivery — regime de plataforma;</w:t>
      </w:r>
    </w:p>
    <w:p>
      <w:pPr>
        <w:spacing w:before="240" w:after="120"/>
      </w:pPr>
      <w:r>
        <w:rPr>
          <w:b/>
          <w:color w:val="1F4E79"/>
          <w:sz w:val="30"/>
        </w:rPr>
        <w:t>5. Bloco D — Impactos Operacionais por Área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Impacto</w:t>
            </w:r>
          </w:p>
        </w:tc>
        <w:tc>
          <w:tcPr>
            <w:tcW w:type="dxa" w:w="3230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Criticidade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Cadastro de SKUs / Serviços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Classificação NBS / NCM / CST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Faturamento / Billing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Emissão de NFS-e / NF-e com CBS por fora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Crítica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Plataforma / Marketplace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Split payment automático nas transações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Crítica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Internacional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Definição domicílio do prestador / destinatário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Crítica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Antifraude / KYC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Classificação fiscal automática do vendedor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TI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Adaptação de gateway de pagamento e ERP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Crítica</w:t>
            </w:r>
          </w:p>
        </w:tc>
      </w:tr>
    </w:tbl>
    <w:p/>
    <w:p>
      <w:pPr>
        <w:spacing w:before="240" w:after="120"/>
      </w:pPr>
      <w:r>
        <w:rPr>
          <w:b/>
          <w:color w:val="1F4E79"/>
          <w:sz w:val="30"/>
        </w:rPr>
        <w:t>6. Regimes Específicos e Diferenciados Aplicáveis</w:t>
      </w:r>
    </w:p>
    <w:p>
      <w:pPr>
        <w:jc w:val="both"/>
      </w:pPr>
      <w:r>
        <w:rPr>
          <w:b w:val="0"/>
          <w:i w:val="0"/>
        </w:rPr>
        <w:t>Software (SaaS, licença, customização): regime regular de serviços. Marketplace: responsabilidade solidária com retenção. Plataforma de transporte / delivery: responsabilidade pelo recolhimento. E-commerce nacional: regime de comércio. Cross-border B2C: CBS devida no destino — Brasil é destino. Serviço digital exportado: imunidade. Empresa do Simples Nacional: pode optar pelo regime regular para transferir crédito (art. 41).</w:t>
      </w:r>
    </w:p>
    <w:p>
      <w:pPr>
        <w:spacing w:before="240" w:after="120"/>
      </w:pPr>
      <w:r>
        <w:rPr>
          <w:b/>
          <w:color w:val="1F4E79"/>
          <w:sz w:val="30"/>
        </w:rPr>
        <w:t>7. Bloco E — Exemplo Prático Aplicado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DDEBF7"/>
          </w:tcPr>
          <w:p>
            <w:r/>
            <w:r>
              <w:rPr>
                <w:b/>
                <w:sz w:val="20"/>
              </w:rPr>
              <w:t>ℹ INFORMAÇÃO TÉCNICA</w:t>
            </w:r>
          </w:p>
          <w:p>
            <w:r>
              <w:rPr>
                <w:sz w:val="22"/>
              </w:rPr>
              <w:t>Marketplace fatura R$ 100.000.000 no mês (vendas de terceiros). Por art. 23 LC 214/2025 e art. 22 do Decreto, é responsável solidário pela CBS dos vendedores não cadastrados ou não contribuintes. CBS retida: R$ 100.000.000 × 0,9% = R$ 900.000. SaaS fatura R$ 5.000.000 a clientes PJ — CBS de R$ 45.000, com clientes apropriando o crédito. Streaming para PF residente exterior — imunidade — saldo credor recuperável.</w:t>
            </w:r>
          </w:p>
        </w:tc>
      </w:tr>
    </w:tbl>
    <w:p/>
    <w:p>
      <w:pPr>
        <w:spacing w:before="240" w:after="120"/>
      </w:pPr>
      <w:r>
        <w:rPr>
          <w:b/>
          <w:color w:val="1F4E79"/>
          <w:sz w:val="30"/>
        </w:rPr>
        <w:t>8. Pontos de Risco e Atenção</w:t>
      </w:r>
    </w:p>
    <w:p>
      <w:pPr>
        <w:pStyle w:val="ListBullet"/>
      </w:pPr>
      <w:r>
        <w:t>Marketplace não adaptado para split payment exposto a autuação solidária;</w:t>
      </w:r>
    </w:p>
    <w:p>
      <w:pPr>
        <w:pStyle w:val="ListBullet"/>
      </w:pPr>
      <w:r>
        <w:t>Software sem classificação NBS clara perde reconhecimento de regime;</w:t>
      </w:r>
    </w:p>
    <w:p>
      <w:pPr>
        <w:pStyle w:val="ListBullet"/>
      </w:pPr>
      <w:r>
        <w:t>Cross-border B2C sem documentação adequada gera bitributação;</w:t>
      </w:r>
    </w:p>
    <w:p>
      <w:pPr>
        <w:pStyle w:val="ListBullet"/>
      </w:pPr>
      <w:r>
        <w:t>Empresa do Simples sem opção pelo regular perde clientes corporativos;</w:t>
      </w:r>
    </w:p>
    <w:p>
      <w:pPr>
        <w:pStyle w:val="ListBullet"/>
      </w:pPr>
      <w:r>
        <w:t>Aplicativos de delivery / transporte com motorista PF têm complexidade alta;</w:t>
      </w:r>
    </w:p>
    <w:p>
      <w:pPr>
        <w:spacing w:before="240" w:after="120"/>
      </w:pPr>
      <w:r>
        <w:rPr>
          <w:b/>
          <w:color w:val="1F4E79"/>
          <w:sz w:val="30"/>
        </w:rPr>
        <w:t>9. Bloco F — Plano de Ação Recomendado</w:t>
      </w:r>
    </w:p>
    <w:p>
      <w:pPr>
        <w:pStyle w:val="ListNumber"/>
      </w:pPr>
      <w:r>
        <w:t>Mapear todas as linhas de receita e classificar por regime CBS;</w:t>
      </w:r>
    </w:p>
    <w:p>
      <w:pPr>
        <w:pStyle w:val="ListNumber"/>
      </w:pPr>
      <w:r>
        <w:t>Adaptar gateway de pagamento e marketplace ao split payment;</w:t>
      </w:r>
    </w:p>
    <w:p>
      <w:pPr>
        <w:pStyle w:val="ListNumber"/>
      </w:pPr>
      <w:r>
        <w:t>Validar com clientes corporativos a transferência de crédito;</w:t>
      </w:r>
    </w:p>
    <w:p>
      <w:pPr>
        <w:pStyle w:val="ListNumber"/>
      </w:pPr>
      <w:r>
        <w:t>Documentar exportação de serviços digitais (cross-border outbound);</w:t>
      </w:r>
    </w:p>
    <w:p>
      <w:pPr>
        <w:pStyle w:val="ListNumber"/>
      </w:pPr>
      <w:r>
        <w:t>Treinar TI, fiscal, comercial, jurídico e contratos em CBS;</w:t>
      </w:r>
    </w:p>
    <w:p>
      <w:pPr>
        <w:pStyle w:val="ListNumber"/>
      </w:pPr>
      <w:r>
        <w:t>Acompanhar regulamentação CGIBS sobre plataformas digitais;</w:t>
      </w:r>
    </w:p>
    <w:p>
      <w:pPr>
        <w:pStyle w:val="ListNumber"/>
      </w:pPr>
      <w:r>
        <w:t>Implantar painel CBS por linha de receita e geografia;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F2CC"/>
          </w:tcPr>
          <w:p>
            <w:r/>
            <w:r>
              <w:rPr>
                <w:b/>
                <w:sz w:val="20"/>
              </w:rPr>
              <w:t>⚠ ATENÇÃO</w:t>
            </w:r>
          </w:p>
          <w:p>
            <w:r>
              <w:rPr>
                <w:sz w:val="22"/>
              </w:rPr>
              <w:t>Diversos dispositivos do Decreto nº 12.955/2026 exigem atos complementares da RFB ou do Comitê Gestor para plena operacionalização. Recomenda-se acompanhamento contínuo da regulamentação durante 2026.</w:t>
            </w:r>
          </w:p>
        </w:tc>
      </w:tr>
    </w:tbl>
    <w:p/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595959"/>
          <w:sz w:val="18"/>
        </w:rPr>
        <w:t>Documento técnico elaborado com base no Decreto nº 12.955, de 29/04/2026.</w:t>
        <w:br/>
      </w:r>
      <w:r>
        <w:rPr>
          <w:i/>
          <w:color w:val="595959"/>
          <w:sz w:val="18"/>
        </w:rPr>
        <w:t>Sujeito a ajustes em razão de atos normativos complementares (RFB/CGIBS) ainda pendentes de publicação.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