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Checklist de Implantação</w:t>
        <w:br/>
      </w:r>
    </w:p>
    <w:p>
      <w:pPr>
        <w:jc w:val="center"/>
      </w:pPr>
      <w:r>
        <w:rPr>
          <w:color w:val="1F4E79"/>
          <w:sz w:val="28"/>
        </w:rPr>
        <w:t>Reforma Tributária — CBS — Implantação Empresarial Estruturada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FERRAMENTA-01-Checklist-Implantacao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Apresentação</w:t>
      </w:r>
    </w:p>
    <w:p>
      <w:pPr>
        <w:jc w:val="both"/>
      </w:pPr>
      <w:r>
        <w:rPr>
          <w:b w:val="0"/>
          <w:i w:val="0"/>
        </w:rPr>
        <w:t>Este Checklist estruturado orienta empresas brasileiras na implantação dos requisitos da Reforma Tributária sobre o consumo, com base na Lei Complementar nº 214/2025 e no Decreto nº 12.955, de 29 de abril de 2026, que regulamenta integralmente a Contribuição Social sobre Bens e Serviços (CBS). O instrumento permite acompanhamento por fase, responsável e prazo, contemplando 11 frentes de trabalho críticas.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O presente Checklist é referencial. Cada empresa deve adaptá-lo ao seu porte, regime tributário, setor de atuação e complexidade dos processos internos. Recomenda-se governança formal por meio de Comitê Tributário Reforma constituído por Diretoria, Fiscal, Contábil, TI, Comercial, Compras, Jurídico, Financeiro e Controladoria.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2. Estrutura do Checklist</w:t>
      </w:r>
    </w:p>
    <w:p>
      <w:pPr>
        <w:jc w:val="both"/>
      </w:pPr>
      <w:r>
        <w:rPr>
          <w:b w:val="0"/>
          <w:i w:val="0"/>
        </w:rPr>
        <w:t>O Checklist está estruturado em 11 frentes. Cada frente possui ações detalhadas, indicação de área responsável, criticidade (Crítica, Alta, Média, Baixa) e prazo sugerido. As datas referenciam o calendário 2025-2032, ou seja, o ciclo completo da transição.</w:t>
      </w:r>
    </w:p>
    <w:p>
      <w:pPr>
        <w:pStyle w:val="ListBullet"/>
      </w:pPr>
      <w:r>
        <w:t>Frente 1 — Governança e Comitê;</w:t>
      </w:r>
    </w:p>
    <w:p>
      <w:pPr>
        <w:pStyle w:val="ListBullet"/>
      </w:pPr>
      <w:r>
        <w:t>Frente 2 — Diagnóstico Tributário e Mapeamento;</w:t>
      </w:r>
    </w:p>
    <w:p>
      <w:pPr>
        <w:pStyle w:val="ListBullet"/>
      </w:pPr>
      <w:r>
        <w:t>Frente 3 — Cadastros Mestres (Itens, Serviços, Fornecedores, Clientes);</w:t>
      </w:r>
    </w:p>
    <w:p>
      <w:pPr>
        <w:pStyle w:val="ListBullet"/>
      </w:pPr>
      <w:r>
        <w:t>Frente 4 — TI / ERP / Sistema Fiscal;</w:t>
      </w:r>
    </w:p>
    <w:p>
      <w:pPr>
        <w:pStyle w:val="ListBullet"/>
      </w:pPr>
      <w:r>
        <w:t>Frente 5 — Documentos Fiscais Eletrônicos;</w:t>
      </w:r>
    </w:p>
    <w:p>
      <w:pPr>
        <w:pStyle w:val="ListBullet"/>
      </w:pPr>
      <w:r>
        <w:t>Frente 6 — Apuração e Compliance Fiscal;</w:t>
      </w:r>
    </w:p>
    <w:p>
      <w:pPr>
        <w:pStyle w:val="ListBullet"/>
      </w:pPr>
      <w:r>
        <w:t>Frente 7 — Contratos e Cláusulas Tributárias;</w:t>
      </w:r>
    </w:p>
    <w:p>
      <w:pPr>
        <w:pStyle w:val="ListBullet"/>
      </w:pPr>
      <w:r>
        <w:t>Frente 8 — Pricing e Política Comercial;</w:t>
      </w:r>
    </w:p>
    <w:p>
      <w:pPr>
        <w:pStyle w:val="ListBullet"/>
      </w:pPr>
      <w:r>
        <w:t>Frente 9 — Tesouraria, Split Payment e Crédito;</w:t>
      </w:r>
    </w:p>
    <w:p>
      <w:pPr>
        <w:pStyle w:val="ListBullet"/>
      </w:pPr>
      <w:r>
        <w:t>Frente 10 — Capacitação e Comunicação Interna;</w:t>
      </w:r>
    </w:p>
    <w:p>
      <w:pPr>
        <w:pStyle w:val="ListBullet"/>
      </w:pPr>
      <w:r>
        <w:t>Frente 11 — Auditoria, Pós-Implantação e Monitoramento;</w:t>
      </w:r>
    </w:p>
    <w:p>
      <w:pPr>
        <w:spacing w:before="240" w:after="120"/>
      </w:pPr>
      <w:r>
        <w:rPr>
          <w:b/>
          <w:color w:val="1F4E79"/>
          <w:sz w:val="30"/>
        </w:rPr>
        <w:t>Frente 1 — Governança e Comitê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Constituir Comitê Tributário Reforma com membros das áreas-chave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Definir Sponsor Executivo (CFO ou equivalente)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Aprovar plano-mestre de implantação e orçamento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 / 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Nov/2025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Estabelecer reuniões quinzenais com pauta padronizada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Nov/2025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Definir KPIs de acompanhamento (% de avanço por frente)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PMO / Controladoria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Contratar (se necessário) consultoria especializada externa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Comunicar formalmente todas as áreas sobre o projeto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Definir matriz de aprovação para decisões críticas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2 — Diagnóstico Tributário e Mapeamento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Mapear todas as operações da empresa (CFOPs, NBS, NCM)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Levantar regimes específicos e diferenciados aplicáveis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Simular impacto tributário em cenários (alíquota-teste 0,9%)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Controladoria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Identificar produtos/serviços alcançados pela cesta básica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Mapear operações de exportação para imunidade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Comercial Exterior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Identificar operações sujeitas a regime monofásico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Análise específica para regimes do art. 245-269 (financeiro/profissionais)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Mapear contratos de longo prazo afetados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Levantar saldo credor inicial em PIS/COFINS para transição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Contabilidade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Inventário físico-fiscal para crédito de transição (estoque)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Logística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3 — Cadastros Mestres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Revisar 100% do cadastro de itens/produtos (NCM, GTIN)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Cadastro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Classificar todos os serviços conforme NBS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Cadastro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Atualizar CST CBS por item / serviço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Incluir indicador de regime tributário (regular, monofásico, etc.)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Validar fornecedores: contribuintes / Simples / não contribuintes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Compras / Cadastro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Validar clientes PF/PJ / contribuinte / CadÚnico (cashback)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Cadastro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Atualizar centros de custo com mapeamento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Controladoria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Reclassificar bens do imobilizado para crédito imediato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Contabilidade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Cadastrar regimes diferenciados (cesta básica, saúde, educação)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Catalogar contratos por área e classificação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4 — TI / ERP / Sistema Fiscal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Levantar gap funcional do ERP atual em relação à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Engajar fornecedor de ERP (SAP, Oracle, Totvs, Sankhya, etc.)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Aplicar pacotes / patches fornecidos pelo ERP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rotina de cálculo CBS por fora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Configurar split payment com adquirentes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Tesouraria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rotinas de transferência entre filiais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regime monofásico (combustíveis, bebidas)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apuração paralela CBS x PIS/COFINS em 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SPED Fiscal / Contribuições / EFD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Testar integração com Receita Federal / CGIBS / SEFAZ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Realizar testes de aceitação com volume de produção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Plano de contingência para falhas no go-live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Operações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5 — Documentos Fiscais Eletrônicos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leiaute da NF-e (campos CBS, redução, regime)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NFC-e para varejo (CBS, demonstração tributária, split)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Operações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NFS-e nacional (Bloco K Serviços / NFS-e padrão)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CT-e (transporte) — campos CBS aplicáveis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Logística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Configurar emissão de NF-e de devolução com estorno de crédito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Configurar NF-e de transferência sem CBS, com manutenção do crédito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emissão de DANFE com nova demonstração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Validar manifestação do destinatário sobre a NF-e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Validar conciliação NF-e emitidas x escrituradas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Estabelecer rotina de retenção de notas com erro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6 — Apuração e Compliance Fiscal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rotina de apuração mensal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apuração paralela PIS/COFINS em 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Configurar geração da EFD ou substituta da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geração da DCTFWeb / declaração equivalente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controle de saldo credor mensal por estabelecimento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controle de crédito presumido (agro, cooperativas)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conciliação CBS x contábil mensal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Contabilidade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Implantar dashboards gerenciais de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Controladoria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Estabelecer rotina de acompanhamento de regulamentação CGIBS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Definir pessoa responsável por revisão semanal de eventos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7 — Contratos e Cláusulas Tributárias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Mapear contratos vigentes afetados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Padronizar nova cláusula tributária (gross-up CBS)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Negociar aditivos com fornecedores estratégicos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Compras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Negociar aditivos com clientes estratégicos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Implantar nova cláusula em todos os contratos novos a partir de 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Avaliar contratos de longo prazo (concessões, infraestrutura)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Padronizar tratamento de bonificações e descontos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contratos de locação (móveis e imóveis)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Tratar contratos com Simples Nacional (transferência de crédito)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Estabelecer comitê para análise de contratos ad hoc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8 — Pricing e Política Comercial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Recalcular margem por produto / serviço com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Controladoria / 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Definir política de gross-up (sobre tabela ou no fechamento)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Atualizar tabelas de preços e simuladores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Recalibrar pricing por canal (e-commerce, varejo, B2B)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política de descontos e bonificações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Treinar equipe comercial na nova lógica tributária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ferramentas de simulação para vendedores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 / 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Comunicar clientes sobre eventuais reajustes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Marketing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Acompanhar movimentos da concorrência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Inteligência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Avaliar repasse parcial / integral por linha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Comercial / 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9 — Tesouraria, Split Payment e Crédito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Engajar adquirentes (Cielo, Rede, Stone, etc.) para split payment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Configurar split payment no Pix em operações empresariais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Reanálise do fluxo de caixa com retenções na origem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Controladoria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Implementar gestão de saldo credor mensal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Estruturar processo de ressarcimento de exportação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Avaliar mecanismos de compensação cruzada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Constituir reserva financeira para choque de transição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Diretoria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Adequar conciliação bancária ao split payment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 / Contabilidade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Estabelecer pacto com bancos para liquidação fracionada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Monitorar prazos de ressarcimento (CGIBS) — KPIs específicos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Tesouraria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10 — Capacitação e Comunicação Interna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Programa de capacitação executiva (Diretoria)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técnica do Fiscal e Contábil (40 horas)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do Comercial (8 horas focadas em pricing)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Comercial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de Compras (8 horas focadas em crédito)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Compras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de TI (16 horas focadas em parametrização)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TI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do Jurídico (8 horas focadas em contratos)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operacional (PDV, recepção, entregas)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Operações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Comunicação periódica via boletim ou intranet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Comunicação / 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sobre demonstração tributária ao consumidor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Operações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Programa de embaixadores da reforma por área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RH / 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Frente 11 — Auditoria, Pós-Implantação e Monitoramento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Auditoria interna de aderência ao Decreto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Auditoria Interna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Jul/2026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Auditoria externa de compliance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Auditoria Externa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Set/2026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Revisão das primeiras apurações (3 ciclos)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Jul/2026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Reanálise dos KPIs de implantação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PMO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Jul/2026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Lessons learned do projeto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PMO / 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Revisão anual do programa frente à regulamentação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Anual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Revisão de cláusulas contratuais 12 meses pós go-live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Mai/2027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Aferição de margem efetiva pós-CBS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Controladoria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Acompanhamento de decisões CGIBS / RFB / CARF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Fiscal / Jurídico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Revisão da governança e composição do 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Anual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Cronograma Resumido (Macro)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Foco Principal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Mobilização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Out/2025 — Dez/2025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Comitê, Diagnóstico inicial, Engajamento de fornecedores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Preparação Técnica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Jan/2026 — Mar/2026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Cadastros, ERP, NF-e, Contratos, Pricing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Testes e Adequação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Abr/2026 — Mai/2026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paralela, integração SEFAZ/RFB, validação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Go-Live e Estabilização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Jul/2026 — Dez/2026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Acompanhamento intensivo, ajustes finos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Transição PIS/COFINS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2026 — 2027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Encerramento gradual de PIS/COFINS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Transição IBS Estadual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2027 — 2032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progressiva ao IBS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Pleno Funcionamento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 partir de 2033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Sistema CBS+IBS+IS pleno; PIS/COFINS/ICMS/ISS extintos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5. Indicadores-Chave de Implantação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% de cadastro de itens revisado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(itens revisados / total) × 100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100% até 30/06/2026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% de fornecedores classificados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(fornecedores classificados / total) × 100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100% até 30/06/2026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% de contratos com cláusula nova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(contratos atualizados / total) × 100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≥ 80% até 30/06/2026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Aderência da NF-e à CBS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Notas com erro / total emitido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&lt; 1% após 60 dias do go-live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Acuracidade da apuração paralela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Diferença CBS calculada x esperada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Menor que 0,5%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Cobertura de capacitação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(treinados / população elegível) × 100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≥ 95%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Tempo médio de ressarcimento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(dias entre crédito e devolução)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Acompanhar — meta CGIBS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Saldo credor / receita bruta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(saldo credor / receita) × 100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Reduzir trimestralmente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Notificações fiscais recebidas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Quantidade por trimestre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Zero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Custos do projeto x orçamento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(executado / planejado)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≤ 110%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6. Recomendação Final</w:t>
      </w:r>
    </w:p>
    <w:p>
      <w:pPr>
        <w:jc w:val="both"/>
      </w:pPr>
      <w:r>
        <w:rPr>
          <w:b w:val="0"/>
          <w:i w:val="0"/>
        </w:rPr>
        <w:t>A implantação da Reforma Tributária — em especial da CBS — constitui o maior projeto tributário das últimas décadas no Brasil. A profundidade das mudanças exige tratamento como projeto estratégico de alta prioridade, com envolvimento direto da Diretoria, recursos dedicados, governança formal e acompanhamento contínuo. Empresas que iniciarem a implantação ainda em 2025 terão margem confortável para validações; aquelas que postergarem para 2026 enfrentarão risco operacional e financeiro relevante.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Recomenda-se que a empresa promova revisões trimestrais do presente Checklist durante todo o período de transição (2026-2032), com atualização ágil em razão de novos atos do CGIBS, da RFB e de eventuais leis complementares supervenientes.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