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br/>
        <w:br/>
        <w:t>REFORMA TRIBUTÁRIA — CBS</w:t>
      </w:r>
    </w:p>
    <w:p>
      <w:pPr>
        <w:jc w:val="center"/>
      </w:pPr>
      <w:r>
        <w:rPr>
          <w:i/>
          <w:color w:val="595959"/>
          <w:sz w:val="26"/>
        </w:rPr>
        <w:t>Decreto nº 12.955, de 29 de abril de 2026</w:t>
      </w:r>
    </w:p>
    <w:p>
      <w:pPr>
        <w:jc w:val="center"/>
      </w:pPr>
      <w:r>
        <w:rPr>
          <w:b/>
          <w:color w:val="0B3D91"/>
          <w:sz w:val="56"/>
        </w:rPr>
        <w:br/>
        <w:br/>
        <w:t>Matriz de Impacto por Departamento</w:t>
        <w:br/>
      </w:r>
    </w:p>
    <w:p>
      <w:pPr>
        <w:jc w:val="center"/>
      </w:pPr>
      <w:r>
        <w:rPr>
          <w:color w:val="1F4E79"/>
          <w:sz w:val="28"/>
        </w:rPr>
        <w:t>Reforma Tributária — CBS — Priorização, Cronograma e Plano de Mitigação</w:t>
      </w:r>
    </w:p>
    <w:p/>
    <w:p/>
    <w:p/>
    <w:p/>
    <w:p/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Código do Documento</w:t>
            </w:r>
          </w:p>
        </w:tc>
        <w:tc>
          <w:tcPr>
            <w:tcW w:type="dxa" w:w="4844"/>
          </w:tcPr>
          <w:p>
            <w:r>
              <w:t>FERRAMENTA-02-Matriz-Impacto-Departamentos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Data de Elaboração</w:t>
            </w:r>
          </w:p>
        </w:tc>
        <w:tc>
          <w:tcPr>
            <w:tcW w:type="dxa" w:w="4844"/>
          </w:tcPr>
          <w:p>
            <w:r>
              <w:t>30/04/2026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Autor Técnico</w:t>
            </w:r>
          </w:p>
        </w:tc>
        <w:tc>
          <w:tcPr>
            <w:tcW w:type="dxa" w:w="4844"/>
          </w:tcPr>
          <w:p>
            <w:r>
              <w:t>ALLAN MARCIO — Consultor Tributário Sênior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Base Normativa</w:t>
            </w:r>
          </w:p>
        </w:tc>
        <w:tc>
          <w:tcPr>
            <w:tcW w:type="dxa" w:w="4844"/>
          </w:tcPr>
          <w:p>
            <w:r>
              <w:t>LC 214/2025; Decreto nº 12.955/2026; EC 132/2023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b/>
          <w:color w:val="0B3D91"/>
          <w:sz w:val="40"/>
        </w:rPr>
        <w:t>1. Apresentação</w:t>
      </w:r>
    </w:p>
    <w:p>
      <w:pPr>
        <w:jc w:val="both"/>
      </w:pPr>
      <w:r>
        <w:rPr>
          <w:b w:val="0"/>
          <w:i w:val="0"/>
        </w:rPr>
        <w:t>Esta Matriz de Impacto consolida, departamento a departamento, os efeitos do Decreto nº 12.955/2026 (CBS) sobre as operações empresariais. A estrutura foi pensada para permitir tomada de decisão executiva: cada área tem o seu impacto descrito, criticidade atribuída, prazo de adequação e plano de mitigação sugerido. A matriz dialoga com o Checklist de Implantação (Ferramenta 01).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DDEBF7"/>
          </w:tcPr>
          <w:p>
            <w:r/>
            <w:r>
              <w:rPr>
                <w:b/>
                <w:sz w:val="20"/>
              </w:rPr>
              <w:t>ℹ INFORMAÇÃO TÉCNICA</w:t>
            </w:r>
          </w:p>
          <w:p>
            <w:r>
              <w:rPr>
                <w:sz w:val="22"/>
              </w:rPr>
              <w:t>A criticidade segue convenção: CRÍTICA (impacto direto na continuidade operacional ou compliance fiscal), ALTA (impacto relevante e prazos curtos), MÉDIA (impacto controlável com planejamento) e BAIXA (impacto marginal ou indireto). Os prazos sugeridos pressupõem o calendário Outubro/2025 → Junho/2026.</w:t>
            </w:r>
          </w:p>
        </w:tc>
      </w:tr>
    </w:tbl>
    <w:p/>
    <w:p>
      <w:pPr>
        <w:spacing w:before="360" w:after="160"/>
      </w:pPr>
      <w:r>
        <w:rPr>
          <w:b/>
          <w:color w:val="0B3D91"/>
          <w:sz w:val="40"/>
        </w:rPr>
        <w:t>2. Metodologia</w:t>
      </w:r>
    </w:p>
    <w:p>
      <w:pPr>
        <w:jc w:val="both"/>
      </w:pPr>
      <w:r>
        <w:rPr>
          <w:b w:val="0"/>
          <w:i w:val="0"/>
        </w:rPr>
        <w:t>A análise de impacto considera três dimensões: (i) escopo da mudança normativa exigida pelo Decreto; (ii) complexidade operacional para implantação; (iii) risco em caso de inadequação (compliance, financeiro, reputacional). A pontuação foi consolidada para classificação final de criticidade.</w:t>
      </w:r>
    </w:p>
    <w:p>
      <w:pPr>
        <w:pStyle w:val="ListBullet"/>
      </w:pPr>
      <w:r>
        <w:t>Etapa 1: Mapeamento da matéria-prima normativa (artigos do Decreto x atividade do departamento);</w:t>
      </w:r>
    </w:p>
    <w:p>
      <w:pPr>
        <w:pStyle w:val="ListBullet"/>
      </w:pPr>
      <w:r>
        <w:t>Etapa 2: Identificação dos sistemas, processos e pessoas afetados;</w:t>
      </w:r>
    </w:p>
    <w:p>
      <w:pPr>
        <w:pStyle w:val="ListBullet"/>
      </w:pPr>
      <w:r>
        <w:t>Etapa 3: Avaliação do prazo razoável de adequação;</w:t>
      </w:r>
    </w:p>
    <w:p>
      <w:pPr>
        <w:pStyle w:val="ListBullet"/>
      </w:pPr>
      <w:r>
        <w:t>Etapa 4: Atribuição de criticidade e prioridade;</w:t>
      </w:r>
    </w:p>
    <w:p>
      <w:pPr>
        <w:pStyle w:val="ListBullet"/>
      </w:pPr>
      <w:r>
        <w:t>Etapa 5: Recomendação de plano de mitigação por departamento;</w:t>
      </w:r>
    </w:p>
    <w:p>
      <w:pPr>
        <w:spacing w:before="360" w:after="160"/>
      </w:pPr>
      <w:r>
        <w:rPr>
          <w:b/>
          <w:color w:val="0B3D91"/>
          <w:sz w:val="40"/>
        </w:rPr>
        <w:t>3. Matriz Departamental Detalhada</w:t>
      </w:r>
    </w:p>
    <w:p>
      <w:pPr>
        <w:spacing w:before="240" w:after="120"/>
      </w:pPr>
      <w:r>
        <w:rPr>
          <w:b/>
          <w:color w:val="1F4E79"/>
          <w:sz w:val="30"/>
        </w:rPr>
        <w:t>3.1 Departamento Fiscal</w:t>
      </w:r>
    </w:p>
    <w:p>
      <w:pPr>
        <w:jc w:val="both"/>
      </w:pPr>
      <w:r>
        <w:rPr>
          <w:b w:val="0"/>
          <w:i w:val="0"/>
        </w:rPr>
        <w:t>Departamento mais impactado em termos absolutos. Concentra a operação da apuração da CBS, gestão de créditos, emissão e escrituração de documentos fiscais, atendimento à fiscalização e produção de obrigações acessórias. Em 2026, opera em regime duplo (CBS e PIS/COFINS), exigindo redobrada atenção.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Frente de Trabalho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Criticidade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Prazo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Mitigação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Apuração mensal CBS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Jan/2026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Implementar rotina + double-check com PIS/COFINS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Apuração paralela PIS/COFINS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Jan/2026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Manter equipe duplicada em 2026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Gestão de créditos amplos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Mar/2026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Política formal de aproveitamento de crédito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Geração de SPED/EFD CBS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Mai/2026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Validação contínua com TI e ERP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Cesta básica e regimes diferenciados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Mar/2026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Reclassificação prévia do catálogo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Operações com Simples Nacional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Abr/2026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Validação prévia da opção do fornecedor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Crédito presumido (agro, cooperativas)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Abr/2026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Acompanhar regulamentação CGIBS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Devoluções e bonificações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Mar/2026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Processo formal de estorno de crédito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Comunicação com clientes/fornecedores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Média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Contínuo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Boletim mensal informativo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Treinamento técnico interno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Jan/2026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40h por integrante da equipe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3.2 Tecnologia da Informação / ERP</w:t>
      </w:r>
    </w:p>
    <w:p>
      <w:pPr>
        <w:jc w:val="both"/>
      </w:pPr>
      <w:r>
        <w:rPr>
          <w:b w:val="0"/>
          <w:i w:val="0"/>
        </w:rPr>
        <w:t>TI é coluna vertebral da implantação. A tempestividade dos pacotes do fornecedor de ERP, a compatibilidade dos leiautes fiscais e a integração com SEFAZ/RFB/CGIBS dependem fundamentalmente desta área. Falhas de TI comprometem todo o programa.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Frente de Trabalho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Criticidade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Prazo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Mitigação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Engajamento com fornecedor de ERP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Out/2025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Contrato formal com SLA de pacotes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Pacotes / patches do ERP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Mar/2026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Aplicação em ambiente de homologação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Cálculo CBS por fora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Mar/2026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Test cases ampliados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Integração com adquirentes (split payment)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Abr/2026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Homologação prévia com cada adquirente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Adequação NF-e / NFC-e / NFS-e / CT-e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Mar/2026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Roadmap por documento fiscal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Apuração paralela CBS x PIS/COFINS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Abr/2026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Módulo dedicado de paralelização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SPED/EFD/DCTF (transição)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Mai/2026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Validação contra portal RFB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Performance de processamento (volume)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Mai/2026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Carga de stress antes do go-live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Plano de contingência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Mai/2026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Tier 4 em ambiente, com rollback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Backup e auditabilidade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Contínuo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Política formalizada de retenção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3.3 Departamento Comercial / Vendas</w:t>
      </w:r>
    </w:p>
    <w:p>
      <w:pPr>
        <w:jc w:val="both"/>
      </w:pPr>
      <w:r>
        <w:rPr>
          <w:b w:val="0"/>
          <w:i w:val="0"/>
        </w:rPr>
        <w:t>Comercial precisa rever toda a política de pricing, contratos com clientes e modelo de comissionamento. A CBS opera por fora — o preço de tabela precisa repassar a tributação corretamente. A área deve ser engajada antecipadamente para evitar perda de margem.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Frente de Trabalho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Criticidade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Prazo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Mitigação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Reformulação de pricing por linha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Fev/2026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Modelo de margem com simulador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Atualização de tabelas de preços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Mar/2026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Versionamento controlado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Cláusula de gross-up em contratos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Mar/2026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Padronização jurídica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Revisão de comissionamento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Mar/2026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Política calibrada à nova margem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Política de descontos e bonificações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Mar/2026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Categorização condicional / não condicional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Negociação com clientes-chave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Mar/2026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Carta-cliente padrão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Treinamento de vendedores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Abr/2026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8 horas mínimas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Adequação de propostas/orçamentos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Mar/2026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Demonstração tributária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E-commerce e marketplaces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Abr/2026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Adequação técnica em paralelo com TI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Comunicação ao cliente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Média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Mai/2026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Newsletter institucional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3.4 Compras / Suprimentos</w:t>
      </w:r>
    </w:p>
    <w:p>
      <w:pPr>
        <w:jc w:val="both"/>
      </w:pPr>
      <w:r>
        <w:rPr>
          <w:b w:val="0"/>
          <w:i w:val="0"/>
        </w:rPr>
        <w:t>Compras opera o lado do crédito — a maior oportunidade financeira da reforma para a empresa. A correta validação de fornecedores, regimes e classificações fiscais determina o valor efetivo de crédito a ser apropriado. Fornecedores não aptos representam custo permanente.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Frente de Trabalho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Criticidade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Prazo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Mitigação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Cadastro classificatório de fornecedores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Abr/2026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KYC tributário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Validação de regime do fornecedor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Abr/2026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Quesito obrigatório no on-boarding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Tratamento Simples Nacional (opção pelo regular)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Abr/2026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Negociar opção formalizada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Bonificações e descontos comerciais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Mar/2026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Documentação contratual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Política de aproveitamento de crédito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Mar/2026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Aprovada pela Diretoria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Adequação contratual (gross-up)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Mar/2026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Padronizado pelo Jurídico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Ajustes em compras de combustíveis (monofásico)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Abr/2026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Procedimento específico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Compras internacionais (importação)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Abr/2026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Procedimento aduaneiro adequado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Rastreabilidade do crédito por OC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Mai/2026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Indicador no ERP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KPI de fornecedores aptos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Média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Contínuo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Painel mensal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3.5 Financeiro / Tesouraria</w:t>
      </w:r>
    </w:p>
    <w:p>
      <w:pPr>
        <w:jc w:val="both"/>
      </w:pPr>
      <w:r>
        <w:rPr>
          <w:b w:val="0"/>
          <w:i w:val="0"/>
        </w:rPr>
        <w:t>Tesouraria sentirá impacto pela retenção em split payment e pela mudança no fluxo de caixa. A gestão de saldo credor e o ressarcimento de exportação tornam-se rotinas críticas. Reservas financeiras de transição devem ser constituídas.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Frente de Trabalho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Criticidade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Prazo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Mitigação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Adequação ao split payment (cartões/Pix)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Fev/2026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Acordo com adquirentes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Reanálise de fluxo de caixa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Fev/2026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Modelo de simulação trimestral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Gestão de saldo credor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Mar/2026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Painel diário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Ressarcimento de exportação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Mar/2026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Pleitos em lote mensal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Reserva financeira de transição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Out/2025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Proporcional ao faturamento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Conciliação bancária pós-split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Mai/2026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Adequação de software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Política de antecipação de recebíveis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Média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Abr/2026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Reanálise das taxas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Compensação cruzada de tributos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Média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Mar/2026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Procedimento formal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Acompanhamento CGIBS / ressarcimentos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Contínuo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Revisão mensal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Financial Planning &amp; Analysis (FP&amp;A)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Trimestral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Forecast revisado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3.6 Contabilidade / Controladoria</w:t>
      </w:r>
    </w:p>
    <w:p>
      <w:pPr>
        <w:jc w:val="both"/>
      </w:pPr>
      <w:r>
        <w:rPr>
          <w:b w:val="0"/>
          <w:i w:val="0"/>
        </w:rPr>
        <w:t>Controladoria assume papel-chave na gestão integrada. Reclassificações, contas contábeis novas, conciliações e análise de margem por linha são responsabilidades reforçadas pela reforma.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Frente de Trabalho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Criticidade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Prazo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Mitigação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Plano de contas adequado à CBS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Jan/2026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Revisão integral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Reclassificação do imobilizado (crédito)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Abr/2026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Levantamento técnico-fiscal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Conciliações fiscais x contábeis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Mai/2026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Mensal automatizada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Margem por produto/serviço pós-CBS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Fev/2026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Painel gerencial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Indicadores SPED / SPED Contábil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Mai/2026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Validação técnica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Apuração contábil paralela 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Jan/2026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Estrutura específica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Reporting executivo da reforma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Mensal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Dashboards CFO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Notas explicativas (DFP)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Média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Mar/2026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Política específica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Análise de variações por filial / linha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Trimestral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Forecast atualizado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Treinamento da equipe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Jan/2026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16 horas focadas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3.7 Jurídico / Compliance</w:t>
      </w:r>
    </w:p>
    <w:p>
      <w:pPr>
        <w:jc w:val="both"/>
      </w:pPr>
      <w:r>
        <w:rPr>
          <w:b w:val="0"/>
          <w:i w:val="0"/>
        </w:rPr>
        <w:t>Jurídico é responsável pela revisão integral dos contratos vigentes, padronização de cláusulas tributárias, acompanhamento de regulamentação e contencioso. Atua também como guardião do compliance fiscal.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Frente de Trabalho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Criticidade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Prazo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Mitigação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Mapeamento contratual completo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Jan/2026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Inventário sistemático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Cláusula tributária padrão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Fev/2026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Aprovação na Diretoria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Aditivos contratuais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Mar/2026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Cronograma de envio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Acompanhamento CGIBS / RFB / CARF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Contínuo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Boletim semanal interno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Pareceres internos sobre dúvidas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Contínuo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Repositório eletrônico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Política de contencioso preventivo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Mar/2026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Aprovado em Comitê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Regulação setorial (ANS, ANTT, etc.)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Média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Mai/2026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Diálogo formal com agências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Adequação de contratos com Simples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Abr/2026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Cláusula de opção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Contratos cross-border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Abr/2026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Análise de imunidade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Treinamento jurídico interno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Jan/2026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8 horas obrigatórias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3.8 Logística / Operações / Distribuição</w:t>
      </w:r>
    </w:p>
    <w:p>
      <w:pPr>
        <w:jc w:val="both"/>
      </w:pPr>
      <w:r>
        <w:rPr>
          <w:b w:val="0"/>
          <w:i w:val="0"/>
        </w:rPr>
        <w:t>Logística é diretamente impactada por transferências entre filiais, movimentações de estoque, devoluções e documentação fiscal eletrônica do transporte (CT-e). Operações industriais e atacadistas exigem atenção redobrada.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Frente de Trabalho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Criticidade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Prazo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Mitigação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Inventário físico-fiscal pré-transição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Dez/2025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Auditoria interna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Transferências entre filiais (sem CBS)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Abr/2026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Documentação adequada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CT-e adaptado à CBS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Abr/2026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Em paralelo com TI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Devoluções com estorno de crédito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Mar/2026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Procedimento padronizado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Movimentação de itens da cesta básica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Média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Abr/2026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Sinalização no WMS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Logística reversa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Média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Mai/2026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Procedimento específico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Combustíveis (regime monofásico)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Abr/2026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Acordo formal com fornecedores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Importação / Exportação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Abr/2026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Procedimento aduaneiro revisto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Treinamento das equipes operacionais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Mai/2026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Pílulas de 4 horas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KPI de operações sem erro fiscal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Média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Contínuo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Painel mensal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3.9 Recursos Humanos</w:t>
      </w:r>
    </w:p>
    <w:p>
      <w:pPr>
        <w:jc w:val="both"/>
      </w:pPr>
      <w:r>
        <w:rPr>
          <w:b w:val="0"/>
          <w:i w:val="0"/>
        </w:rPr>
        <w:t>Embora a reforma do consumo não impacte diretamente folha de pagamento, RH é responsável pelo programa de capacitação e pela comunicação interna. Reflexos em terceirizações e contratos PJ também merecem atenção.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Frente de Trabalho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Criticidade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Prazo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Mitigação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Programa de capacitação por área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Jan/2026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Plano anual aprovado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Mapeamento de gaps de conhecimento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Dez/2025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Diagnóstico por área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Comunicação interna periódica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Média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Contínuo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Boletim mensal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Reflexos em terceirização e PJ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Média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Abr/2026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Adequação contratual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Plano de embaixadores da reforma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Baixa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Mar/2026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Designação formal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Avaliação de necessidade de novos perfis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Jan/2026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Recrutamento se necessário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Atualização de manuais internos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Média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Abr/2026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Versionamento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Treinamento de gestores e líderes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Fev/2026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8 horas mínimas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Plano de retenção da equipe-chave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Out/2025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Política específica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Mensuração de aderência à capacitação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Média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Trimestral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Auditoria de RH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3.10 Diretoria Executiva / Governança</w:t>
      </w:r>
    </w:p>
    <w:p>
      <w:pPr>
        <w:jc w:val="both"/>
      </w:pPr>
      <w:r>
        <w:rPr>
          <w:b w:val="0"/>
          <w:i w:val="0"/>
        </w:rPr>
        <w:t>A alta liderança exerce papel decisivo no patrocínio do programa, na aprovação das mudanças de modelo de negócio e na alocação de recursos. A reforma exige patrocínio executivo formal e visível.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Frente de Trabalho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Criticidade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Prazo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Mitigação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Patrocínio executivo formal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Out/2025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CFO Sponsor designado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Aprovação do plano-mestre e orçamento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Nov/2025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Comitê com poder de decisão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Reuniões mensais de status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Contínuo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Pauta estruturada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Aprovação da política tributária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Dez/2025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Documento estratégico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Comunicação ao Conselho/Acionistas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Trimestral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Reporting padrão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Aprovação da política de pricing nova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Fev/2026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Decisão estratégica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Validação do plano de mitigação de riscos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Jan/2026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Revisão formal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Avaliação dos resultados pós-reforma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Trimestral 2026 em diante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KPIs revisados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Tomada de decisão para opção fiscal (Simples / outros)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Dez/2025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Estudo formal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Reflexão estratégica sobre modelo de negócio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Contínuo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Plano de longo prazo</w:t>
            </w:r>
          </w:p>
        </w:tc>
      </w:tr>
    </w:tbl>
    <w:p/>
    <w:p>
      <w:pPr>
        <w:spacing w:before="360" w:after="160"/>
      </w:pPr>
      <w:r>
        <w:rPr>
          <w:b/>
          <w:color w:val="0B3D91"/>
          <w:sz w:val="40"/>
        </w:rPr>
        <w:t>4. Priorização Consolidada (Visão Executiva)</w:t>
      </w:r>
    </w:p>
    <w:p>
      <w:pPr>
        <w:jc w:val="both"/>
      </w:pPr>
      <w:r>
        <w:rPr>
          <w:b w:val="0"/>
          <w:i w:val="0"/>
        </w:rPr>
        <w:t>A tabela a seguir consolida o quadro geral por departamento, com a quantidade de frentes críticas e o prazo médio de adequação.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Departamento</w:t>
            </w:r>
          </w:p>
        </w:tc>
        <w:tc>
          <w:tcPr>
            <w:tcW w:type="dxa" w:w="1938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Frentes Críticas</w:t>
            </w:r>
          </w:p>
        </w:tc>
        <w:tc>
          <w:tcPr>
            <w:tcW w:type="dxa" w:w="1938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Frentes Altas</w:t>
            </w:r>
          </w:p>
        </w:tc>
        <w:tc>
          <w:tcPr>
            <w:tcW w:type="dxa" w:w="1938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Prazo Médio</w:t>
            </w:r>
          </w:p>
        </w:tc>
        <w:tc>
          <w:tcPr>
            <w:tcW w:type="dxa" w:w="1938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Prioridade Geral</w:t>
            </w:r>
          </w:p>
        </w:tc>
      </w:tr>
      <w:tr>
        <w:tc>
          <w:tcPr>
            <w:tcW w:type="dxa" w:w="1938"/>
          </w:tcPr>
          <w:p>
            <w:r/>
            <w:r>
              <w:rPr>
                <w:sz w:val="20"/>
              </w:rPr>
              <w:t>Fiscal</w:t>
            </w:r>
          </w:p>
        </w:tc>
        <w:tc>
          <w:tcPr>
            <w:tcW w:type="dxa" w:w="1938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938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938"/>
          </w:tcPr>
          <w:p>
            <w:r/>
            <w:r>
              <w:rPr>
                <w:sz w:val="20"/>
              </w:rPr>
              <w:t>Mar/2026</w:t>
            </w:r>
          </w:p>
        </w:tc>
        <w:tc>
          <w:tcPr>
            <w:tcW w:type="dxa" w:w="1938"/>
          </w:tcPr>
          <w:p>
            <w:r/>
            <w:r>
              <w:rPr>
                <w:sz w:val="20"/>
              </w:rPr>
              <w:t>1ª</w:t>
            </w:r>
          </w:p>
        </w:tc>
      </w:tr>
      <w:tr>
        <w:tc>
          <w:tcPr>
            <w:tcW w:type="dxa" w:w="1938"/>
          </w:tcPr>
          <w:p>
            <w:r/>
            <w:r>
              <w:rPr>
                <w:sz w:val="20"/>
              </w:rPr>
              <w:t>TI / ERP</w:t>
            </w:r>
          </w:p>
        </w:tc>
        <w:tc>
          <w:tcPr>
            <w:tcW w:type="dxa" w:w="1938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938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938"/>
          </w:tcPr>
          <w:p>
            <w:r/>
            <w:r>
              <w:rPr>
                <w:sz w:val="20"/>
              </w:rPr>
              <w:t>Mar/2026 — Mai/2026</w:t>
            </w:r>
          </w:p>
        </w:tc>
        <w:tc>
          <w:tcPr>
            <w:tcW w:type="dxa" w:w="1938"/>
          </w:tcPr>
          <w:p>
            <w:r/>
            <w:r>
              <w:rPr>
                <w:sz w:val="20"/>
              </w:rPr>
              <w:t>2ª</w:t>
            </w:r>
          </w:p>
        </w:tc>
      </w:tr>
      <w:tr>
        <w:tc>
          <w:tcPr>
            <w:tcW w:type="dxa" w:w="1938"/>
          </w:tcPr>
          <w:p>
            <w:r/>
            <w:r>
              <w:rPr>
                <w:sz w:val="20"/>
              </w:rPr>
              <w:t>Comercial</w:t>
            </w:r>
          </w:p>
        </w:tc>
        <w:tc>
          <w:tcPr>
            <w:tcW w:type="dxa" w:w="1938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938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938"/>
          </w:tcPr>
          <w:p>
            <w:r/>
            <w:r>
              <w:rPr>
                <w:sz w:val="20"/>
              </w:rPr>
              <w:t>Mar/2026</w:t>
            </w:r>
          </w:p>
        </w:tc>
        <w:tc>
          <w:tcPr>
            <w:tcW w:type="dxa" w:w="1938"/>
          </w:tcPr>
          <w:p>
            <w:r/>
            <w:r>
              <w:rPr>
                <w:sz w:val="20"/>
              </w:rPr>
              <w:t>3ª</w:t>
            </w:r>
          </w:p>
        </w:tc>
      </w:tr>
      <w:tr>
        <w:tc>
          <w:tcPr>
            <w:tcW w:type="dxa" w:w="1938"/>
          </w:tcPr>
          <w:p>
            <w:r/>
            <w:r>
              <w:rPr>
                <w:sz w:val="20"/>
              </w:rPr>
              <w:t>Compras</w:t>
            </w:r>
          </w:p>
        </w:tc>
        <w:tc>
          <w:tcPr>
            <w:tcW w:type="dxa" w:w="1938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938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938"/>
          </w:tcPr>
          <w:p>
            <w:r/>
            <w:r>
              <w:rPr>
                <w:sz w:val="20"/>
              </w:rPr>
              <w:t>Abr/2026</w:t>
            </w:r>
          </w:p>
        </w:tc>
        <w:tc>
          <w:tcPr>
            <w:tcW w:type="dxa" w:w="1938"/>
          </w:tcPr>
          <w:p>
            <w:r/>
            <w:r>
              <w:rPr>
                <w:sz w:val="20"/>
              </w:rPr>
              <w:t>4ª</w:t>
            </w:r>
          </w:p>
        </w:tc>
      </w:tr>
      <w:tr>
        <w:tc>
          <w:tcPr>
            <w:tcW w:type="dxa" w:w="1938"/>
          </w:tcPr>
          <w:p>
            <w:r/>
            <w:r>
              <w:rPr>
                <w:sz w:val="20"/>
              </w:rPr>
              <w:t>Tesouraria</w:t>
            </w:r>
          </w:p>
        </w:tc>
        <w:tc>
          <w:tcPr>
            <w:tcW w:type="dxa" w:w="1938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938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938"/>
          </w:tcPr>
          <w:p>
            <w:r/>
            <w:r>
              <w:rPr>
                <w:sz w:val="20"/>
              </w:rPr>
              <w:t>Mar/2026</w:t>
            </w:r>
          </w:p>
        </w:tc>
        <w:tc>
          <w:tcPr>
            <w:tcW w:type="dxa" w:w="1938"/>
          </w:tcPr>
          <w:p>
            <w:r/>
            <w:r>
              <w:rPr>
                <w:sz w:val="20"/>
              </w:rPr>
              <w:t>5ª</w:t>
            </w:r>
          </w:p>
        </w:tc>
      </w:tr>
      <w:tr>
        <w:tc>
          <w:tcPr>
            <w:tcW w:type="dxa" w:w="1938"/>
          </w:tcPr>
          <w:p>
            <w:r/>
            <w:r>
              <w:rPr>
                <w:sz w:val="20"/>
              </w:rPr>
              <w:t>Controladoria</w:t>
            </w:r>
          </w:p>
        </w:tc>
        <w:tc>
          <w:tcPr>
            <w:tcW w:type="dxa" w:w="1938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938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938"/>
          </w:tcPr>
          <w:p>
            <w:r/>
            <w:r>
              <w:rPr>
                <w:sz w:val="20"/>
              </w:rPr>
              <w:t>Mai/2026</w:t>
            </w:r>
          </w:p>
        </w:tc>
        <w:tc>
          <w:tcPr>
            <w:tcW w:type="dxa" w:w="1938"/>
          </w:tcPr>
          <w:p>
            <w:r/>
            <w:r>
              <w:rPr>
                <w:sz w:val="20"/>
              </w:rPr>
              <w:t>6ª</w:t>
            </w:r>
          </w:p>
        </w:tc>
      </w:tr>
      <w:tr>
        <w:tc>
          <w:tcPr>
            <w:tcW w:type="dxa" w:w="1938"/>
          </w:tcPr>
          <w:p>
            <w:r/>
            <w:r>
              <w:rPr>
                <w:sz w:val="20"/>
              </w:rPr>
              <w:t>Jurídico</w:t>
            </w:r>
          </w:p>
        </w:tc>
        <w:tc>
          <w:tcPr>
            <w:tcW w:type="dxa" w:w="1938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938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938"/>
          </w:tcPr>
          <w:p>
            <w:r/>
            <w:r>
              <w:rPr>
                <w:sz w:val="20"/>
              </w:rPr>
              <w:t>Mar/2026</w:t>
            </w:r>
          </w:p>
        </w:tc>
        <w:tc>
          <w:tcPr>
            <w:tcW w:type="dxa" w:w="1938"/>
          </w:tcPr>
          <w:p>
            <w:r/>
            <w:r>
              <w:rPr>
                <w:sz w:val="20"/>
              </w:rPr>
              <w:t>7ª</w:t>
            </w:r>
          </w:p>
        </w:tc>
      </w:tr>
      <w:tr>
        <w:tc>
          <w:tcPr>
            <w:tcW w:type="dxa" w:w="1938"/>
          </w:tcPr>
          <w:p>
            <w:r/>
            <w:r>
              <w:rPr>
                <w:sz w:val="20"/>
              </w:rPr>
              <w:t>Logística</w:t>
            </w:r>
          </w:p>
        </w:tc>
        <w:tc>
          <w:tcPr>
            <w:tcW w:type="dxa" w:w="1938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938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938"/>
          </w:tcPr>
          <w:p>
            <w:r/>
            <w:r>
              <w:rPr>
                <w:sz w:val="20"/>
              </w:rPr>
              <w:t>Abr/2026</w:t>
            </w:r>
          </w:p>
        </w:tc>
        <w:tc>
          <w:tcPr>
            <w:tcW w:type="dxa" w:w="1938"/>
          </w:tcPr>
          <w:p>
            <w:r/>
            <w:r>
              <w:rPr>
                <w:sz w:val="20"/>
              </w:rPr>
              <w:t>8ª</w:t>
            </w:r>
          </w:p>
        </w:tc>
      </w:tr>
      <w:tr>
        <w:tc>
          <w:tcPr>
            <w:tcW w:type="dxa" w:w="1938"/>
          </w:tcPr>
          <w:p>
            <w:r/>
            <w:r>
              <w:rPr>
                <w:sz w:val="20"/>
              </w:rPr>
              <w:t>Diretoria</w:t>
            </w:r>
          </w:p>
        </w:tc>
        <w:tc>
          <w:tcPr>
            <w:tcW w:type="dxa" w:w="1938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938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938"/>
          </w:tcPr>
          <w:p>
            <w:r/>
            <w:r>
              <w:rPr>
                <w:sz w:val="20"/>
              </w:rPr>
              <w:t>Dez/2025 — Mar/2026</w:t>
            </w:r>
          </w:p>
        </w:tc>
        <w:tc>
          <w:tcPr>
            <w:tcW w:type="dxa" w:w="1938"/>
          </w:tcPr>
          <w:p>
            <w:r/>
            <w:r>
              <w:rPr>
                <w:sz w:val="20"/>
              </w:rPr>
              <w:t>Patrocínio Contínuo</w:t>
            </w:r>
          </w:p>
        </w:tc>
      </w:tr>
      <w:tr>
        <w:tc>
          <w:tcPr>
            <w:tcW w:type="dxa" w:w="1938"/>
          </w:tcPr>
          <w:p>
            <w:r/>
            <w:r>
              <w:rPr>
                <w:sz w:val="20"/>
              </w:rPr>
              <w:t>RH</w:t>
            </w:r>
          </w:p>
        </w:tc>
        <w:tc>
          <w:tcPr>
            <w:tcW w:type="dxa" w:w="1938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938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938"/>
          </w:tcPr>
          <w:p>
            <w:r/>
            <w:r>
              <w:rPr>
                <w:sz w:val="20"/>
              </w:rPr>
              <w:t>Jan/2026 — Abr/2026</w:t>
            </w:r>
          </w:p>
        </w:tc>
        <w:tc>
          <w:tcPr>
            <w:tcW w:type="dxa" w:w="1938"/>
          </w:tcPr>
          <w:p>
            <w:r/>
            <w:r>
              <w:rPr>
                <w:sz w:val="20"/>
              </w:rPr>
              <w:t>Apoio</w:t>
            </w:r>
          </w:p>
        </w:tc>
      </w:tr>
    </w:tbl>
    <w:p/>
    <w:p>
      <w:pPr>
        <w:spacing w:before="360" w:after="160"/>
      </w:pPr>
      <w:r>
        <w:rPr>
          <w:b/>
          <w:color w:val="0B3D91"/>
          <w:sz w:val="40"/>
        </w:rPr>
        <w:t>5. Cronograma Resumido por Departamento</w:t>
      </w:r>
    </w:p>
    <w:p>
      <w:pPr>
        <w:spacing w:before="160"/>
      </w:pPr>
      <w:r>
        <w:rPr>
          <w:b/>
          <w:color w:val="1F4E79"/>
          <w:sz w:val="24"/>
        </w:rPr>
        <w:t>5.1 Fase Mobilização (Out-Dez/2025)</w:t>
      </w:r>
    </w:p>
    <w:p>
      <w:pPr>
        <w:pStyle w:val="ListBullet"/>
      </w:pPr>
      <w:r>
        <w:t>Diretoria: aprovar plano e orçamento;</w:t>
      </w:r>
    </w:p>
    <w:p>
      <w:pPr>
        <w:pStyle w:val="ListBullet"/>
      </w:pPr>
      <w:r>
        <w:t>Fiscal: diagnóstico e simulação;</w:t>
      </w:r>
    </w:p>
    <w:p>
      <w:pPr>
        <w:pStyle w:val="ListBullet"/>
      </w:pPr>
      <w:r>
        <w:t>TI: engajar fornecedor de ERP;</w:t>
      </w:r>
    </w:p>
    <w:p>
      <w:pPr>
        <w:pStyle w:val="ListBullet"/>
      </w:pPr>
      <w:r>
        <w:t>Tesouraria: constituir reserva de transição;</w:t>
      </w:r>
    </w:p>
    <w:p>
      <w:pPr>
        <w:pStyle w:val="ListBullet"/>
      </w:pPr>
      <w:r>
        <w:t>RH: mapear gaps e iniciar capacitação;</w:t>
      </w:r>
    </w:p>
    <w:p>
      <w:pPr>
        <w:spacing w:before="160"/>
      </w:pPr>
      <w:r>
        <w:rPr>
          <w:b/>
          <w:color w:val="1F4E79"/>
          <w:sz w:val="24"/>
        </w:rPr>
        <w:t>5.2 Fase Preparação (Jan-Mar/2026)</w:t>
      </w:r>
    </w:p>
    <w:p>
      <w:pPr>
        <w:pStyle w:val="ListBullet"/>
      </w:pPr>
      <w:r>
        <w:t>Fiscal: implementar apuração paralela;</w:t>
      </w:r>
    </w:p>
    <w:p>
      <w:pPr>
        <w:pStyle w:val="ListBullet"/>
      </w:pPr>
      <w:r>
        <w:t>TI: aplicar pacotes do ERP;</w:t>
      </w:r>
    </w:p>
    <w:p>
      <w:pPr>
        <w:pStyle w:val="ListBullet"/>
      </w:pPr>
      <w:r>
        <w:t>Cadastros: revisar 100% de itens e fornecedores;</w:t>
      </w:r>
    </w:p>
    <w:p>
      <w:pPr>
        <w:pStyle w:val="ListBullet"/>
      </w:pPr>
      <w:r>
        <w:t>Comercial: novas tabelas e contratos;</w:t>
      </w:r>
    </w:p>
    <w:p>
      <w:pPr>
        <w:pStyle w:val="ListBullet"/>
      </w:pPr>
      <w:r>
        <w:t>Jurídico: cláusulas tributárias padrão;</w:t>
      </w:r>
    </w:p>
    <w:p>
      <w:pPr>
        <w:pStyle w:val="ListBullet"/>
      </w:pPr>
      <w:r>
        <w:t>Compras: política de crédito;</w:t>
      </w:r>
    </w:p>
    <w:p>
      <w:pPr>
        <w:pStyle w:val="ListBullet"/>
      </w:pPr>
      <w:r>
        <w:t>Controladoria: plano de contas adequado;</w:t>
      </w:r>
    </w:p>
    <w:p>
      <w:pPr>
        <w:spacing w:before="160"/>
      </w:pPr>
      <w:r>
        <w:rPr>
          <w:b/>
          <w:color w:val="1F4E79"/>
          <w:sz w:val="24"/>
        </w:rPr>
        <w:t>5.3 Fase Adequação (Abr-Mai/2026)</w:t>
      </w:r>
    </w:p>
    <w:p>
      <w:pPr>
        <w:pStyle w:val="ListBullet"/>
      </w:pPr>
      <w:r>
        <w:t>TI: integração com SEFAZ/RFB e split payment;</w:t>
      </w:r>
    </w:p>
    <w:p>
      <w:pPr>
        <w:pStyle w:val="ListBullet"/>
      </w:pPr>
      <w:r>
        <w:t>Fiscal: SPED CBS;</w:t>
      </w:r>
    </w:p>
    <w:p>
      <w:pPr>
        <w:pStyle w:val="ListBullet"/>
      </w:pPr>
      <w:r>
        <w:t>Compras: KYC tributário concluído;</w:t>
      </w:r>
    </w:p>
    <w:p>
      <w:pPr>
        <w:pStyle w:val="ListBullet"/>
      </w:pPr>
      <w:r>
        <w:t>Logística: WMS e CT-e adequados;</w:t>
      </w:r>
    </w:p>
    <w:p>
      <w:pPr>
        <w:pStyle w:val="ListBullet"/>
      </w:pPr>
      <w:r>
        <w:t>Comercial: e-commerce e marketplaces ajustados;</w:t>
      </w:r>
    </w:p>
    <w:p>
      <w:pPr>
        <w:pStyle w:val="ListBullet"/>
      </w:pPr>
      <w:r>
        <w:t>RH: capacitação operacional concluída;</w:t>
      </w:r>
    </w:p>
    <w:p>
      <w:pPr>
        <w:spacing w:before="160"/>
      </w:pPr>
      <w:r>
        <w:rPr>
          <w:b/>
          <w:color w:val="1F4E79"/>
          <w:sz w:val="24"/>
        </w:rPr>
        <w:t>5.4 Fase Estabilização (Jul-Dez/2026)</w:t>
      </w:r>
    </w:p>
    <w:p>
      <w:pPr>
        <w:pStyle w:val="ListBullet"/>
      </w:pPr>
      <w:r>
        <w:t>Fiscal: ciclos de apuração revisados;</w:t>
      </w:r>
    </w:p>
    <w:p>
      <w:pPr>
        <w:pStyle w:val="ListBullet"/>
      </w:pPr>
      <w:r>
        <w:t>Auditoria: aderência ao Decreto;</w:t>
      </w:r>
    </w:p>
    <w:p>
      <w:pPr>
        <w:pStyle w:val="ListBullet"/>
      </w:pPr>
      <w:r>
        <w:t>Controladoria: análise de margem efetiva;</w:t>
      </w:r>
    </w:p>
    <w:p>
      <w:pPr>
        <w:pStyle w:val="ListBullet"/>
      </w:pPr>
      <w:r>
        <w:t>Diretoria: avaliação trimestral;</w:t>
      </w:r>
    </w:p>
    <w:p>
      <w:pPr>
        <w:pStyle w:val="ListBullet"/>
      </w:pPr>
      <w:r>
        <w:t>Comitê: lessons learned;</w:t>
      </w:r>
    </w:p>
    <w:p>
      <w:pPr>
        <w:spacing w:before="160"/>
      </w:pPr>
      <w:r>
        <w:rPr>
          <w:b/>
          <w:color w:val="1F4E79"/>
          <w:sz w:val="24"/>
        </w:rPr>
        <w:t>5.5 Transição Estendida (2027-2032)</w:t>
      </w:r>
    </w:p>
    <w:p>
      <w:pPr>
        <w:pStyle w:val="ListBullet"/>
      </w:pPr>
      <w:r>
        <w:t>Encerramento gradual de PIS/COFINS (2026-2027);</w:t>
      </w:r>
    </w:p>
    <w:p>
      <w:pPr>
        <w:pStyle w:val="ListBullet"/>
      </w:pPr>
      <w:r>
        <w:t>Adoção integral do IBS estadual e municipal (2029-2032);</w:t>
      </w:r>
    </w:p>
    <w:p>
      <w:pPr>
        <w:pStyle w:val="ListBullet"/>
      </w:pPr>
      <w:r>
        <w:t>Plena operação do sistema CBS+IBS+IS a partir de 2033;</w:t>
      </w:r>
    </w:p>
    <w:p>
      <w:pPr>
        <w:pStyle w:val="ListBullet"/>
      </w:pPr>
      <w:r>
        <w:t>Acompanhamento contínuo da regulamentação CGIBS;</w:t>
      </w:r>
    </w:p>
    <w:p>
      <w:pPr>
        <w:spacing w:before="360" w:after="160"/>
      </w:pPr>
      <w:r>
        <w:rPr>
          <w:b/>
          <w:color w:val="0B3D91"/>
          <w:sz w:val="40"/>
        </w:rPr>
        <w:t>6. Riscos Críticos da Implantação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BE5D6"/>
          </w:tcPr>
          <w:p>
            <w:r/>
            <w:r>
              <w:rPr>
                <w:b/>
                <w:sz w:val="20"/>
              </w:rPr>
              <w:t>✖ RISCO RELEVANTE</w:t>
            </w:r>
          </w:p>
          <w:p>
            <w:r>
              <w:rPr>
                <w:sz w:val="22"/>
              </w:rPr>
              <w:t>Os riscos a seguir foram considerados de altíssima criticidade. A não mitigação pode comprometer a operação ou gerar exposição relevante a autuações fiscais.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Risco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Probabilidade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242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Mitigação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Pacotes de ERP em atraso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SLA contratual com fornecedor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Falha no split payment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Média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Homologação prévia com adquirentes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Cadastro incompleto de itens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Plano com prazo intermediário trimestral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Erro na cesta básica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Média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Validação cruzada Fiscal/Comercial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Contratos sem cláusula tributária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Aditivos com prazo formal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Capacitação insuficiente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Média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Treinamento com avaliação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Saldo credor estagnado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Média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Política de monetização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Apuração paralela com erro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Conciliação independente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Inadequação ao Imposto Seletivo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Média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Média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Mapeamento prévio</w:t>
            </w:r>
          </w:p>
        </w:tc>
      </w:tr>
      <w:tr>
        <w:tc>
          <w:tcPr>
            <w:tcW w:type="dxa" w:w="2422"/>
          </w:tcPr>
          <w:p>
            <w:r/>
            <w:r>
              <w:rPr>
                <w:sz w:val="20"/>
              </w:rPr>
              <w:t>Regulamentação CGIBS tardia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422"/>
          </w:tcPr>
          <w:p>
            <w:r/>
            <w:r>
              <w:rPr>
                <w:sz w:val="20"/>
              </w:rPr>
              <w:t>Posições conservadoras documentadas</w:t>
            </w:r>
          </w:p>
        </w:tc>
      </w:tr>
    </w:tbl>
    <w:p/>
    <w:p>
      <w:pPr>
        <w:spacing w:before="360" w:after="160"/>
      </w:pPr>
      <w:r>
        <w:rPr>
          <w:b/>
          <w:color w:val="0B3D91"/>
          <w:sz w:val="40"/>
        </w:rPr>
        <w:t>7. Recomendação Executiva</w:t>
      </w:r>
    </w:p>
    <w:p>
      <w:pPr>
        <w:jc w:val="both"/>
      </w:pPr>
      <w:r>
        <w:rPr>
          <w:b w:val="0"/>
          <w:i w:val="0"/>
        </w:rPr>
        <w:t>A análise consolidada indica que a maturidade do programa de implantação é diretamente proporcional ao alinhamento entre Diretoria, TI e Fiscal. Departamentos como Comercial e Compras exigem orquestração transversal — frequentemente subestimada. A recomendação é a constituição imediata do Comitê Tributário Reforma, com sponsor executivo, e o início das frentes críticas ainda em outubro de 2025.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2CC"/>
          </w:tcPr>
          <w:p>
            <w:r/>
            <w:r>
              <w:rPr>
                <w:b/>
                <w:sz w:val="20"/>
              </w:rPr>
              <w:t>⚠ ATENÇÃO</w:t>
            </w:r>
          </w:p>
          <w:p>
            <w:r>
              <w:rPr>
                <w:sz w:val="22"/>
              </w:rPr>
              <w:t>Este documento deve ser revisado mensalmente durante a fase de implantação e trimestralmente após o go-live. Cada nova publicação CGIBS/RFB/STF pode alterar criticidade ou prazos.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595959"/>
          <w:sz w:val="18"/>
        </w:rPr>
        <w:t>Documento técnico elaborado com base no Decreto nº 12.955, de 29/04/2026.</w:t>
        <w:br/>
      </w:r>
      <w:r>
        <w:rPr>
          <w:i/>
          <w:color w:val="595959"/>
          <w:sz w:val="18"/>
        </w:rPr>
        <w:t>Sujeito a ajustes em razão de atos normativos complementares (RFB/CGIBS) ainda pendentes de publicação.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