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MANUAL COMPLETO</w:t>
        <w:br/>
      </w:r>
    </w:p>
    <w:p>
      <w:pPr>
        <w:jc w:val="center"/>
      </w:pPr>
      <w:r>
        <w:rPr>
          <w:color w:val="1F4E79"/>
          <w:sz w:val="28"/>
        </w:rPr>
        <w:t>Reforma Tributária — Contribuição Social sobre Bens e Serviços (CBS) — Guia Corporativo de Implantação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MANUAL-COMPLETO-CBS-2026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Apresentação</w:t>
      </w:r>
    </w:p>
    <w:p>
      <w:pPr>
        <w:jc w:val="both"/>
      </w:pPr>
      <w:r>
        <w:rPr>
          <w:b w:val="0"/>
          <w:i w:val="0"/>
        </w:rPr>
        <w:t>Este Manual consolida em documento único o conjunto de análises, instrumentos e recomendações sobre a Reforma Tributária brasileira, com foco específico no Decreto nº 12.955, de 29 de abril de 2026, que regulamenta a Contribuição Social sobre Bens e Serviços (CBS), prevista na Lei Complementar nº 214/2025 e na Emenda Constitucional nº 132/2023. Destina-se a Diretoria, Controladoria, Fiscal, Contabilidade, TI, Comercial, Compras, Jurídico, Logística e demais áreas envolvidas na transição.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A reforma tributária do consumo é o maior projeto tributário em curso no Brasil desde a CF/88. As mudanças afetam toda a cadeia produtiva, exigindo planejamento integrado, governança robusta e revisão sistêmica de processos, sistemas e contratos.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Estrutura do Manual</w:t>
      </w:r>
    </w:p>
    <w:p>
      <w:pPr>
        <w:pStyle w:val="ListBullet"/>
      </w:pPr>
      <w:r>
        <w:t>Parte I — Visão Geral e Contexto Normativo;</w:t>
      </w:r>
    </w:p>
    <w:p>
      <w:pPr>
        <w:pStyle w:val="ListBullet"/>
      </w:pPr>
      <w:r>
        <w:t>Parte II — Estrutura do Decreto e Conceitos Fundamentais;</w:t>
      </w:r>
    </w:p>
    <w:p>
      <w:pPr>
        <w:pStyle w:val="ListBullet"/>
      </w:pPr>
      <w:r>
        <w:t>Parte III — Síntese dos Temas Críticos (16 temas);</w:t>
      </w:r>
    </w:p>
    <w:p>
      <w:pPr>
        <w:pStyle w:val="ListBullet"/>
      </w:pPr>
      <w:r>
        <w:t>Parte IV — Síntese dos Impactos Setoriais (16 setores);</w:t>
      </w:r>
    </w:p>
    <w:p>
      <w:pPr>
        <w:pStyle w:val="ListBullet"/>
      </w:pPr>
      <w:r>
        <w:t>Parte V — Plano de Implantação e Ferramentas Operacionais;</w:t>
      </w:r>
    </w:p>
    <w:p>
      <w:pPr>
        <w:pStyle w:val="ListBullet"/>
      </w:pPr>
      <w:r>
        <w:t>Parte VI — Cronograma, KPIs e Recomendações Executivas;</w:t>
      </w:r>
    </w:p>
    <w:p>
      <w:pPr>
        <w:pStyle w:val="ListBullet"/>
      </w:pPr>
      <w:r>
        <w:t>Parte VII — Anexos (Mapa de documentos complementares);</w:t>
      </w:r>
    </w:p>
    <w:p>
      <w:pPr>
        <w:spacing w:before="360" w:after="160"/>
      </w:pPr>
      <w:r>
        <w:rPr>
          <w:b/>
          <w:color w:val="0B3D91"/>
          <w:sz w:val="40"/>
        </w:rPr>
        <w:t>Parte I — Visão Geral e Contexto Normativo</w:t>
      </w:r>
    </w:p>
    <w:p>
      <w:pPr>
        <w:spacing w:before="240" w:after="120"/>
      </w:pPr>
      <w:r>
        <w:rPr>
          <w:b/>
          <w:color w:val="1F4E79"/>
          <w:sz w:val="30"/>
        </w:rPr>
        <w:t>1. Contexto da Reforma</w:t>
      </w:r>
    </w:p>
    <w:p>
      <w:pPr>
        <w:jc w:val="both"/>
      </w:pPr>
      <w:r>
        <w:rPr>
          <w:b w:val="0"/>
          <w:i w:val="0"/>
        </w:rPr>
        <w:t>A Emenda Constitucional nº 132, de 20 de dezembro de 2023, instituiu o novo modelo de tributação sobre o consumo no Brasil, substituindo PIS, COFINS, IPI, ICMS e ISS por dois novos tributos sobre o valor agregado (IVA Dual): a CBS (federal) e o IBS (estadual e municipal). Adicionalmente, foi previsto o Imposto Seletivo, incidente sobre bens e serviços prejudiciais à saúde ou ao meio ambiente. A Lei Complementar nº 214/2025 regulamentou a EC, e o Decreto nº 12.955/2026 detalha a operacionalização da CBS.</w:t>
      </w:r>
    </w:p>
    <w:p>
      <w:pPr>
        <w:spacing w:before="240" w:after="120"/>
      </w:pPr>
      <w:r>
        <w:rPr>
          <w:b/>
          <w:color w:val="1F4E79"/>
          <w:sz w:val="30"/>
        </w:rPr>
        <w:t>2. Pilares da Reforma</w:t>
      </w:r>
    </w:p>
    <w:p>
      <w:pPr>
        <w:pStyle w:val="ListBullet"/>
      </w:pPr>
      <w:r>
        <w:t>Não cumulatividade ampla — crédito sobre todos os insumos, não apenas físicos;</w:t>
      </w:r>
    </w:p>
    <w:p>
      <w:pPr>
        <w:pStyle w:val="ListBullet"/>
      </w:pPr>
      <w:r>
        <w:t>Tributação no destino — alíquota é definida pelo local de consumo;</w:t>
      </w:r>
    </w:p>
    <w:p>
      <w:pPr>
        <w:pStyle w:val="ListBullet"/>
      </w:pPr>
      <w:r>
        <w:t>Cálculo por fora — preço base separado da carga tributária;</w:t>
      </w:r>
    </w:p>
    <w:p>
      <w:pPr>
        <w:pStyle w:val="ListBullet"/>
      </w:pPr>
      <w:r>
        <w:t>Transparência tributária — demonstração na nota fiscal;</w:t>
      </w:r>
    </w:p>
    <w:p>
      <w:pPr>
        <w:pStyle w:val="ListBullet"/>
      </w:pPr>
      <w:r>
        <w:t>Split payment — recolhimento na transação eletrônica;</w:t>
      </w:r>
    </w:p>
    <w:p>
      <w:pPr>
        <w:pStyle w:val="ListBullet"/>
      </w:pPr>
      <w:r>
        <w:t>Cashback social — devolução de tributo a famílias do CadÚnico;</w:t>
      </w:r>
    </w:p>
    <w:p>
      <w:pPr>
        <w:pStyle w:val="ListBullet"/>
      </w:pPr>
      <w:r>
        <w:t>Imunidades preservadas e regimes diferenciados/específicos para casos sensíveis;</w:t>
      </w:r>
    </w:p>
    <w:p>
      <w:pPr>
        <w:spacing w:before="240" w:after="120"/>
      </w:pPr>
      <w:r>
        <w:rPr>
          <w:b/>
          <w:color w:val="1F4E79"/>
          <w:sz w:val="30"/>
        </w:rPr>
        <w:t>3. Cronograma Constitucional da Transição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type="dxa" w:w="4844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Evento Principal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2026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CBS inicia em alíquota-teste de 0,9%; IBS inicia em alíquota-teste de 0,1%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2027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CBS plena substitui PIS/COFINS; Imposto Seletivo entra em operação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2028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Transição operacional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2029-2032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Convivência ICMS/ISS x IBS com transição gradual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2033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Sistema novo plenamente vigente; tributos antigos extintos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Parte II — Estrutura do Decreto nº 12.955/2026</w:t>
      </w:r>
    </w:p>
    <w:p>
      <w:pPr>
        <w:spacing w:before="240" w:after="120"/>
      </w:pPr>
      <w:r>
        <w:rPr>
          <w:b/>
          <w:color w:val="1F4E79"/>
          <w:sz w:val="30"/>
        </w:rPr>
        <w:t>1. Sumário Estrutural</w:t>
      </w:r>
    </w:p>
    <w:p>
      <w:pPr>
        <w:jc w:val="both"/>
      </w:pPr>
      <w:r>
        <w:rPr>
          <w:b w:val="0"/>
          <w:i w:val="0"/>
        </w:rPr>
        <w:t>O Decreto possui 251 páginas, 620 artigos, 3 livros e 5 anexos:</w:t>
      </w:r>
    </w:p>
    <w:p>
      <w:pPr>
        <w:pStyle w:val="ListBullet"/>
      </w:pPr>
      <w:r>
        <w:t>Livro I — Normas Gerais (incidência, contribuintes, base, alíquotas, créditos, split payment);</w:t>
      </w:r>
    </w:p>
    <w:p>
      <w:pPr>
        <w:pStyle w:val="ListBullet"/>
      </w:pPr>
      <w:r>
        <w:t>Livro II — Regimes Aduaneiros e Operações Internacionais;</w:t>
      </w:r>
    </w:p>
    <w:p>
      <w:pPr>
        <w:pStyle w:val="ListBullet"/>
      </w:pPr>
      <w:r>
        <w:t>Livro III — Regimes Específicos e Diferenciados (financeiros, combustíveis, saúde, etc.);</w:t>
      </w:r>
    </w:p>
    <w:p>
      <w:pPr>
        <w:pStyle w:val="ListBullet"/>
      </w:pPr>
      <w:r>
        <w:t>Anexo I — Cesta Básica Nacional (alíquota zero);</w:t>
      </w:r>
    </w:p>
    <w:p>
      <w:pPr>
        <w:pStyle w:val="ListBullet"/>
      </w:pPr>
      <w:r>
        <w:t>Anexo II — Cesta Básica Estendida (redução de 60%);</w:t>
      </w:r>
    </w:p>
    <w:p>
      <w:pPr>
        <w:pStyle w:val="ListBullet"/>
      </w:pPr>
      <w:r>
        <w:t>Anexo XV — Medicamentos com redução de 60%;</w:t>
      </w:r>
    </w:p>
    <w:p>
      <w:pPr>
        <w:pStyle w:val="ListBullet"/>
      </w:pPr>
      <w:r>
        <w:t>Anexo XVI — Medicamentos com alíquota zero;</w:t>
      </w:r>
    </w:p>
    <w:p>
      <w:pPr>
        <w:pStyle w:val="ListBullet"/>
      </w:pPr>
      <w:r>
        <w:t>Anexo XX — Regras de Transição;</w:t>
      </w:r>
    </w:p>
    <w:p>
      <w:pPr>
        <w:spacing w:before="240" w:after="120"/>
      </w:pPr>
      <w:r>
        <w:rPr>
          <w:b/>
          <w:color w:val="1F4E79"/>
          <w:sz w:val="30"/>
        </w:rPr>
        <w:t>2. Conceitos Fundamentais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Conceito</w:t>
            </w:r>
          </w:p>
        </w:tc>
        <w:tc>
          <w:tcPr>
            <w:tcW w:type="dxa" w:w="4844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Definição Resumida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Operação onerosa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Operação com bens ou serviços remunerada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Contribuinte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Pessoa jurídica que pratica operações com habitualidade ou volume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Crédito amplo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Direito a aproveitar CBS de toda aquisição usada na atividade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Não cumulatividade plena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Sem restrições materiais ao crédito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Split payment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Pagamento fracionado da CBS direto à RFB pelo intermediário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Cashback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Devolução automática a famílias CadÚnico em produtos essenciais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Regime regular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Aplicação da alíquota geral, não cumulativa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Regime específico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Modalidade especial (ex.: combustíveis, financeiro)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Regime diferenciado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Reduções de alíquota (30%, 60%, etc.)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Imposto Seletivo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Tributo extrafiscal sobre bens danosos à saúde ou meio ambiente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Parte III — Síntese dos Temas Críticos</w:t>
      </w:r>
    </w:p>
    <w:p>
      <w:pPr>
        <w:jc w:val="both"/>
      </w:pPr>
      <w:r>
        <w:rPr>
          <w:b w:val="0"/>
          <w:i w:val="0"/>
        </w:rPr>
        <w:t>A análise integral dos temas está disponível em 16 documentos individuais (pasta 01_TEMAS). Apresenta-se aqui síntese executiva.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Base Legal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Síntese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Incidência e Hipóteses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4º a 11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Operações onerosas com bens e serviços; ampliada para todos os fatos econômicos relevantes.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Base de Cálculo e Alíquotas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12 a 18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Valor da operação por fora; alíquota-teste 0,9% em 2026.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Não Cumulatividade e Créditos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47 a 64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Crédito amplo, imediato e mensal; eliminado conceito restritivo de insumo.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Sujeição Passiva e Responsabilidade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19 a 27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Plataformas digitais e marketplaces como responsáveis solidários.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Split Payment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28 a 35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Recolhimento direto pela adquirente/operadora de pagamento.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Importação e Exportação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65 a 80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Imunidade na exportação com manutenção de crédito; CBS no destino.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Regimes Aduaneiros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270 a 302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Drawback, REPETRO, RECAP, REPORTO e suspensões.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Cesta Básica e Regimes Diferenciados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142 a 168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Anexo I com alíquota zero; -60% em itens estendidos e essenciais.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Combustíveis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169 a 200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Regime monofásico, com Imposto Seletivo sobre fósseis.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Serviços Financeiros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245 a 268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Tributação sobre receita bruta ajustada por modalidade.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Saúde e Planos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463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Redução de 60%; planos sobre contraprestação líquida.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Bens Imóveis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380 a 395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Redução de 50%; redutor de R$ 100 mil em imóvel novo PF; MCMV zerado.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Cooperativas, Hotelaria, SAF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305 a 320, art. 478, art. 481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Regimes específicos por categoria.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ZFM e ALC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200 a 244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Manutenção de benefícios até 2073.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Compras Governamentais e Cashback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492 a 514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Cashback para famílias CadÚnico em consumo essencial.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Cadastro, Documentos Fiscais e Fiscalização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art. 515 a 620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NF-e/NFC-e/NFS-e e CT-e adequados; comitê gestor integrado.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Parte IV — Síntese dos Impactos Setoriais</w:t>
      </w:r>
    </w:p>
    <w:p>
      <w:pPr>
        <w:jc w:val="both"/>
      </w:pPr>
      <w:r>
        <w:rPr>
          <w:b w:val="0"/>
          <w:i w:val="0"/>
        </w:rPr>
        <w:t>Análise detalhada por setor está disponível em 16 documentos individuais (pasta 02_SETORES). Apresenta-se síntese estratégica do impacto e do regime preponderante.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Setor</w:t>
            </w:r>
          </w:p>
        </w:tc>
        <w:tc>
          <w:tcPr>
            <w:tcW w:type="dxa" w:w="4844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Síntese Estratégica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Indústria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Regime regular com crédito amplo; revisão integral de cadastros e contratos.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Varejo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Cesta básica zerada; cashback CadÚnico; split payment crítico no PDV.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Atacado / Distribuição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Fim da ST; oportunidade em margens com não cumulatividade.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Serviços Gerais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Maior impacto relativo — Lucro Presumido perde regime cumulativo.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Construção e Imóveis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Redução de 50%; redutor de R$ 100 mil; MCMV zerado.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Agronegócio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Cesta básica zerada; crédito presumido em compras de produtor PF.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Instituições Financeiras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Regime específico sobre receita bruta ajustada.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Saúde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Redução de 60%; medicamentos com regime diferenciado.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Educação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Redução de 60%; livros com alíquota zero.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Transporte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Coletivo de passageiros com -60%; carga em alíquota cheia com crédito.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Hotelaria e Turismo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Redução de 40%; OTAs com responsabilidade solidária.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Bares e Restaurantes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Regime específico (art. 478); apps de delivery integrados ao split payment.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Cooperativas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Regime opcional cooperativo ou regular.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Telecom e Utilities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Regime regular; cashback CadÚnico em luz, água e gás.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Tecnologia e E-commerce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Plataformas como responsáveis solidários; cross-border B2C no destino.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sz w:val="20"/>
              </w:rPr>
              <w:t>Combustíveis</w:t>
            </w:r>
          </w:p>
        </w:tc>
        <w:tc>
          <w:tcPr>
            <w:tcW w:type="dxa" w:w="4844"/>
          </w:tcPr>
          <w:p>
            <w:r/>
            <w:r>
              <w:rPr>
                <w:sz w:val="20"/>
              </w:rPr>
              <w:t>Regime monofásico; Imposto Seletivo sobre fósseis.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Parte V — Plano de Implantação e Ferramentas Operacionais</w:t>
      </w:r>
    </w:p>
    <w:p>
      <w:pPr>
        <w:spacing w:before="240" w:after="120"/>
      </w:pPr>
      <w:r>
        <w:rPr>
          <w:b/>
          <w:color w:val="1F4E79"/>
          <w:sz w:val="30"/>
        </w:rPr>
        <w:t>1. Frentes do Programa</w:t>
      </w:r>
    </w:p>
    <w:p>
      <w:pPr>
        <w:jc w:val="both"/>
      </w:pPr>
      <w:r>
        <w:rPr>
          <w:b w:val="0"/>
          <w:i w:val="0"/>
        </w:rPr>
        <w:t>O Checklist completo (Ferramenta 01) detalha 11 frentes de trabalho, com responsabilidades, prazos e criticidades. Síntese:</w:t>
      </w:r>
    </w:p>
    <w:p>
      <w:pPr>
        <w:pStyle w:val="ListBullet"/>
      </w:pPr>
      <w:r>
        <w:t>1. Governança e Comitê;</w:t>
      </w:r>
    </w:p>
    <w:p>
      <w:pPr>
        <w:pStyle w:val="ListBullet"/>
      </w:pPr>
      <w:r>
        <w:t>2. Diagnóstico Tributário e Mapeamento;</w:t>
      </w:r>
    </w:p>
    <w:p>
      <w:pPr>
        <w:pStyle w:val="ListBullet"/>
      </w:pPr>
      <w:r>
        <w:t>3. Cadastros Mestres;</w:t>
      </w:r>
    </w:p>
    <w:p>
      <w:pPr>
        <w:pStyle w:val="ListBullet"/>
      </w:pPr>
      <w:r>
        <w:t>4. TI / ERP / Sistema Fiscal;</w:t>
      </w:r>
    </w:p>
    <w:p>
      <w:pPr>
        <w:pStyle w:val="ListBullet"/>
      </w:pPr>
      <w:r>
        <w:t>5. Documentos Fiscais Eletrônicos;</w:t>
      </w:r>
    </w:p>
    <w:p>
      <w:pPr>
        <w:pStyle w:val="ListBullet"/>
      </w:pPr>
      <w:r>
        <w:t>6. Apuração e Compliance;</w:t>
      </w:r>
    </w:p>
    <w:p>
      <w:pPr>
        <w:pStyle w:val="ListBullet"/>
      </w:pPr>
      <w:r>
        <w:t>7. Contratos e Cláusulas Tributárias;</w:t>
      </w:r>
    </w:p>
    <w:p>
      <w:pPr>
        <w:pStyle w:val="ListBullet"/>
      </w:pPr>
      <w:r>
        <w:t>8. Pricing e Política Comercial;</w:t>
      </w:r>
    </w:p>
    <w:p>
      <w:pPr>
        <w:pStyle w:val="ListBullet"/>
      </w:pPr>
      <w:r>
        <w:t>9. Tesouraria e Split Payment;</w:t>
      </w:r>
    </w:p>
    <w:p>
      <w:pPr>
        <w:pStyle w:val="ListBullet"/>
      </w:pPr>
      <w:r>
        <w:t>10. Capacitação e Comunicação;</w:t>
      </w:r>
    </w:p>
    <w:p>
      <w:pPr>
        <w:pStyle w:val="ListBullet"/>
      </w:pPr>
      <w:r>
        <w:t>11. Auditoria e Pós-Implantação;</w:t>
      </w:r>
    </w:p>
    <w:p>
      <w:pPr>
        <w:spacing w:before="240" w:after="120"/>
      </w:pPr>
      <w:r>
        <w:rPr>
          <w:b/>
          <w:color w:val="1F4E79"/>
          <w:sz w:val="30"/>
        </w:rPr>
        <w:t>2. Departamentos e Criticidade</w:t>
      </w:r>
    </w:p>
    <w:p>
      <w:pPr>
        <w:jc w:val="both"/>
      </w:pPr>
      <w:r>
        <w:rPr>
          <w:b w:val="0"/>
          <w:i w:val="0"/>
        </w:rPr>
        <w:t>A Matriz de Impacto (Ferramenta 02) detalha o impacto por departamento. Síntese da prioridade: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Departamento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Foco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1ª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Apuração, créditos, SPED, regimes especiais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2ª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TI / ERP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Pacotes, leiautes, cálculo, split payment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3ª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Pricing, contratos, comissionamento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4ª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Compras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Crédito, qualificação de fornecedores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5ª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Split payment, fluxo de caixa, ressarcimento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6ª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Controladoria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Plano de contas, conciliações, margem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7ª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Contratos, regulamentação, contencioso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8ª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Logística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Inventário, transferências, CT-e, devoluções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9ª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RH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Capacitação e comunicação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Diretoria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Patrocínio, governança, decisões estratégicas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Parte VI — Cronograma, KPIs e Recomendações</w:t>
      </w:r>
    </w:p>
    <w:p>
      <w:pPr>
        <w:spacing w:before="240" w:after="120"/>
      </w:pPr>
      <w:r>
        <w:rPr>
          <w:b/>
          <w:color w:val="1F4E79"/>
          <w:sz w:val="30"/>
        </w:rPr>
        <w:t>1. Cronograma Macro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Foco Principal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Mobilização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Out/2025 — Dez/2025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Comitê, diagnóstico e fornecedores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Preparação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Jan/2026 — Mar/2026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Cadastros, ERP, contratos, pricing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Adequação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Abr/2026 — Mai/2026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Apuração paralela, integração SEFAZ/RFB, testes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Estabilização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Jul/2026 — Dez/2026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Acompanhamento intensivo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Transição PIS/COFINS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2026 — 2027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Encerramento PIS/COFINS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Transição IBS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2027 — 2032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Convivência ICMS/ISS x IBS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Pleno Funcionamento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 partir de 2033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CBS+IBS+IS plenos; tributos antigos extintos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2. KPIs do Programa</w:t>
      </w:r>
    </w:p>
    <w:p>
      <w:pPr>
        <w:pStyle w:val="ListBullet"/>
      </w:pPr>
      <w:r>
        <w:t>% de cadastro de itens revisado (meta 100% até Jun/2026);</w:t>
      </w:r>
    </w:p>
    <w:p>
      <w:pPr>
        <w:pStyle w:val="ListBullet"/>
      </w:pPr>
      <w:r>
        <w:t>% de fornecedores classificados (meta 100% até Jun/2026);</w:t>
      </w:r>
    </w:p>
    <w:p>
      <w:pPr>
        <w:pStyle w:val="ListBullet"/>
      </w:pPr>
      <w:r>
        <w:t>% de contratos com cláusula nova (meta ≥ 80% até Jun/2026);</w:t>
      </w:r>
    </w:p>
    <w:p>
      <w:pPr>
        <w:pStyle w:val="ListBullet"/>
      </w:pPr>
      <w:r>
        <w:t>Aderência da NF-e à CBS (meta &lt; 1% de erro após 60 dias do go-live);</w:t>
      </w:r>
    </w:p>
    <w:p>
      <w:pPr>
        <w:pStyle w:val="ListBullet"/>
      </w:pPr>
      <w:r>
        <w:t>Acuracidade da apuração paralela (meta &lt; 0,5% de divergência);</w:t>
      </w:r>
    </w:p>
    <w:p>
      <w:pPr>
        <w:pStyle w:val="ListBullet"/>
      </w:pPr>
      <w:r>
        <w:t>Cobertura de capacitação (meta ≥ 95%);</w:t>
      </w:r>
    </w:p>
    <w:p>
      <w:pPr>
        <w:pStyle w:val="ListBullet"/>
      </w:pPr>
      <w:r>
        <w:t>Zero notificações fiscais por trimestre;</w:t>
      </w:r>
    </w:p>
    <w:p>
      <w:pPr>
        <w:pStyle w:val="ListBullet"/>
      </w:pPr>
      <w:r>
        <w:t>Custos do projeto x orçamento (meta ≤ 110%);</w:t>
      </w:r>
    </w:p>
    <w:p>
      <w:pPr>
        <w:spacing w:before="240" w:after="120"/>
      </w:pPr>
      <w:r>
        <w:rPr>
          <w:b/>
          <w:color w:val="1F4E79"/>
          <w:sz w:val="30"/>
        </w:rPr>
        <w:t>3. Recomendações Executivas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1. Constituir formalmente, ainda em 2025, o Comitê Tributário Reforma com sponsor executivo (preferencialmente CFO);</w:t>
              <w:br/>
              <w:br/>
              <w:t>2. Aprovar imediatamente orçamento dedicado e alocar recursos humanos especializados;</w:t>
              <w:br/>
              <w:br/>
              <w:t>3. Engajar fornecedor de ERP com SLA contratual rigoroso para entrega dos pacotes em prazo;</w:t>
              <w:br/>
              <w:br/>
              <w:t>4. Iniciar mapeamento integral de cadastros (itens, serviços, fornecedores, clientes, contratos);</w:t>
              <w:br/>
              <w:br/>
              <w:t>5. Adotar o Checklist (Ferramenta 01) e a Matriz de Impacto (Ferramenta 02) como instrumentos formais de governança;</w:t>
              <w:br/>
              <w:br/>
              <w:t>6. Estabelecer rotina semanal de acompanhamento de regulamentação CGIBS/RFB;</w:t>
              <w:br/>
              <w:br/>
              <w:t>7. Comunicar adequadamente clientes e fornecedores sobre mudanças contratuais;</w:t>
              <w:br/>
              <w:br/>
              <w:t>8. Avaliar oportunidades específicas (regimes opcionais, créditos retroativos de transição, ressarcimentos);</w:t>
              <w:br/>
              <w:br/>
              <w:t>9. Constituir reserva financeira de transição;</w:t>
              <w:br/>
              <w:br/>
              <w:t>10. Auditar internamente a aderência ao Decreto após 90 dias de vigência.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Parte VII — Documentos Complementares</w:t>
      </w:r>
    </w:p>
    <w:p>
      <w:pPr>
        <w:jc w:val="both"/>
      </w:pPr>
      <w:r>
        <w:rPr>
          <w:b w:val="0"/>
          <w:i w:val="0"/>
        </w:rPr>
        <w:t>O presente Manual integra biblioteca de documentos sobre a Reforma Tributária — CBS, organizada na pasta 15_NOVIDADE conforme abaixo:</w:t>
      </w:r>
    </w:p>
    <w:p>
      <w:pPr>
        <w:spacing w:before="240" w:after="120"/>
      </w:pPr>
      <w:r>
        <w:rPr>
          <w:b/>
          <w:color w:val="1F4E79"/>
          <w:sz w:val="30"/>
        </w:rPr>
        <w:t>Estrutura da Biblioteca</w:t>
      </w:r>
    </w:p>
    <w:p>
      <w:pPr>
        <w:jc w:val="both"/>
      </w:pPr>
      <w:r>
        <w:rPr>
          <w:b/>
          <w:i w:val="0"/>
        </w:rPr>
        <w:t>Pasta 00 — Documentos de Visão Executiva</w:t>
      </w:r>
    </w:p>
    <w:p>
      <w:pPr>
        <w:pStyle w:val="ListBullet"/>
      </w:pPr>
      <w:r>
        <w:t>00_RESUMO_EXECUTIVO_Decreto_12955.docx — Resumo executivo segmentado por tema;</w:t>
      </w:r>
    </w:p>
    <w:p>
      <w:pPr>
        <w:pStyle w:val="ListBullet"/>
      </w:pPr>
      <w:r>
        <w:t>01_PARECER_TECNICO_INTEGRAL.docx — Parecer técnico estruturado pelos blocos A-F;</w:t>
      </w:r>
    </w:p>
    <w:p>
      <w:pPr>
        <w:jc w:val="both"/>
      </w:pPr>
      <w:r>
        <w:rPr>
          <w:b/>
          <w:i w:val="0"/>
        </w:rPr>
        <w:t>Pasta 01_TEMAS — Aprofundamento Temático</w:t>
      </w:r>
    </w:p>
    <w:p>
      <w:pPr>
        <w:pStyle w:val="ListBullet"/>
      </w:pPr>
      <w:r>
        <w:t>TEMA-01-Incidencia-Hipoteses.docx;</w:t>
      </w:r>
    </w:p>
    <w:p>
      <w:pPr>
        <w:pStyle w:val="ListBullet"/>
      </w:pPr>
      <w:r>
        <w:t>TEMA-02-Base-Calculo-Aliquotas.docx;</w:t>
      </w:r>
    </w:p>
    <w:p>
      <w:pPr>
        <w:pStyle w:val="ListBullet"/>
      </w:pPr>
      <w:r>
        <w:t>TEMA-03-Nao-Cumulatividade-Creditos.docx;</w:t>
      </w:r>
    </w:p>
    <w:p>
      <w:pPr>
        <w:pStyle w:val="ListBullet"/>
      </w:pPr>
      <w:r>
        <w:t>TEMA-04-Sujeicao-Passiva-Responsabilidade.docx;</w:t>
      </w:r>
    </w:p>
    <w:p>
      <w:pPr>
        <w:pStyle w:val="ListBullet"/>
      </w:pPr>
      <w:r>
        <w:t>TEMA-05-Split-Payment.docx;</w:t>
      </w:r>
    </w:p>
    <w:p>
      <w:pPr>
        <w:pStyle w:val="ListBullet"/>
      </w:pPr>
      <w:r>
        <w:t>TEMA-06-Importacao-Exportacao.docx;</w:t>
      </w:r>
    </w:p>
    <w:p>
      <w:pPr>
        <w:pStyle w:val="ListBullet"/>
      </w:pPr>
      <w:r>
        <w:t>TEMA-07-Regimes-Aduaneiros.docx;</w:t>
      </w:r>
    </w:p>
    <w:p>
      <w:pPr>
        <w:pStyle w:val="ListBullet"/>
      </w:pPr>
      <w:r>
        <w:t>TEMA-08-Cesta-Basica-Regimes-Diferenciados.docx;</w:t>
      </w:r>
    </w:p>
    <w:p>
      <w:pPr>
        <w:pStyle w:val="ListBullet"/>
      </w:pPr>
      <w:r>
        <w:t>TEMA-09-Regime-Combustiveis.docx;</w:t>
      </w:r>
    </w:p>
    <w:p>
      <w:pPr>
        <w:pStyle w:val="ListBullet"/>
      </w:pPr>
      <w:r>
        <w:t>TEMA-10-Regime-Servicos-Financeiros.docx;</w:t>
      </w:r>
    </w:p>
    <w:p>
      <w:pPr>
        <w:pStyle w:val="ListBullet"/>
      </w:pPr>
      <w:r>
        <w:t>TEMA-11-Saude-Prognosticos.docx;</w:t>
      </w:r>
    </w:p>
    <w:p>
      <w:pPr>
        <w:pStyle w:val="ListBullet"/>
      </w:pPr>
      <w:r>
        <w:t>TEMA-12-Bens-Imoveis.docx;</w:t>
      </w:r>
    </w:p>
    <w:p>
      <w:pPr>
        <w:pStyle w:val="ListBullet"/>
      </w:pPr>
      <w:r>
        <w:t>TEMA-13-Cooperativas-Hotelaria-Saf.docx;</w:t>
      </w:r>
    </w:p>
    <w:p>
      <w:pPr>
        <w:pStyle w:val="ListBullet"/>
      </w:pPr>
      <w:r>
        <w:t>TEMA-14-ZFM-Areas-Livre-Comercio.docx;</w:t>
      </w:r>
    </w:p>
    <w:p>
      <w:pPr>
        <w:pStyle w:val="ListBullet"/>
      </w:pPr>
      <w:r>
        <w:t>TEMA-15-Compras-Governo-Cashback.docx;</w:t>
      </w:r>
    </w:p>
    <w:p>
      <w:pPr>
        <w:pStyle w:val="ListBullet"/>
      </w:pPr>
      <w:r>
        <w:t>TEMA-16-Cadastro-Doc-Fiscal-Fiscalizacao.docx;</w:t>
      </w:r>
    </w:p>
    <w:p>
      <w:pPr>
        <w:jc w:val="both"/>
      </w:pPr>
      <w:r>
        <w:rPr>
          <w:b/>
          <w:i w:val="0"/>
        </w:rPr>
        <w:t>Pasta 02_SETORES — Análise Setorial</w:t>
      </w:r>
    </w:p>
    <w:p>
      <w:pPr>
        <w:pStyle w:val="ListBullet"/>
      </w:pPr>
      <w:r>
        <w:t>SETOR-01-Industria.docx;</w:t>
      </w:r>
    </w:p>
    <w:p>
      <w:pPr>
        <w:pStyle w:val="ListBullet"/>
      </w:pPr>
      <w:r>
        <w:t>SETOR-02-Varejo.docx;</w:t>
      </w:r>
    </w:p>
    <w:p>
      <w:pPr>
        <w:pStyle w:val="ListBullet"/>
      </w:pPr>
      <w:r>
        <w:t>SETOR-03-Atacado.docx;</w:t>
      </w:r>
    </w:p>
    <w:p>
      <w:pPr>
        <w:pStyle w:val="ListBullet"/>
      </w:pPr>
      <w:r>
        <w:t>SETOR-04-Servicos.docx;</w:t>
      </w:r>
    </w:p>
    <w:p>
      <w:pPr>
        <w:pStyle w:val="ListBullet"/>
      </w:pPr>
      <w:r>
        <w:t>SETOR-05-Construcao-Imobiliaria.docx;</w:t>
      </w:r>
    </w:p>
    <w:p>
      <w:pPr>
        <w:pStyle w:val="ListBullet"/>
      </w:pPr>
      <w:r>
        <w:t>SETOR-06-Agronegocio.docx;</w:t>
      </w:r>
    </w:p>
    <w:p>
      <w:pPr>
        <w:pStyle w:val="ListBullet"/>
      </w:pPr>
      <w:r>
        <w:t>SETOR-07-Instituicoes-Financeiras.docx;</w:t>
      </w:r>
    </w:p>
    <w:p>
      <w:pPr>
        <w:pStyle w:val="ListBullet"/>
      </w:pPr>
      <w:r>
        <w:t>SETOR-08-Saude.docx;</w:t>
      </w:r>
    </w:p>
    <w:p>
      <w:pPr>
        <w:pStyle w:val="ListBullet"/>
      </w:pPr>
      <w:r>
        <w:t>SETOR-09-Educacao.docx;</w:t>
      </w:r>
    </w:p>
    <w:p>
      <w:pPr>
        <w:pStyle w:val="ListBullet"/>
      </w:pPr>
      <w:r>
        <w:t>SETOR-10-Transporte.docx;</w:t>
      </w:r>
    </w:p>
    <w:p>
      <w:pPr>
        <w:pStyle w:val="ListBullet"/>
      </w:pPr>
      <w:r>
        <w:t>SETOR-11-Hotelaria-Turismo.docx;</w:t>
      </w:r>
    </w:p>
    <w:p>
      <w:pPr>
        <w:pStyle w:val="ListBullet"/>
      </w:pPr>
      <w:r>
        <w:t>SETOR-12-Bares-Restaurantes.docx;</w:t>
      </w:r>
    </w:p>
    <w:p>
      <w:pPr>
        <w:pStyle w:val="ListBullet"/>
      </w:pPr>
      <w:r>
        <w:t>SETOR-13-Cooperativas.docx;</w:t>
      </w:r>
    </w:p>
    <w:p>
      <w:pPr>
        <w:pStyle w:val="ListBullet"/>
      </w:pPr>
      <w:r>
        <w:t>SETOR-14-Telecom-Utilities.docx;</w:t>
      </w:r>
    </w:p>
    <w:p>
      <w:pPr>
        <w:pStyle w:val="ListBullet"/>
      </w:pPr>
      <w:r>
        <w:t>SETOR-15-Tecnologia.docx;</w:t>
      </w:r>
    </w:p>
    <w:p>
      <w:pPr>
        <w:pStyle w:val="ListBullet"/>
      </w:pPr>
      <w:r>
        <w:t>SETOR-16-Combustiveis.docx;</w:t>
      </w:r>
    </w:p>
    <w:p>
      <w:pPr>
        <w:jc w:val="both"/>
      </w:pPr>
      <w:r>
        <w:rPr>
          <w:b/>
          <w:i w:val="0"/>
        </w:rPr>
        <w:t>Pasta 03_FERRAMENTAS — Instrumentos Operacionais</w:t>
      </w:r>
    </w:p>
    <w:p>
      <w:pPr>
        <w:pStyle w:val="ListBullet"/>
      </w:pPr>
      <w:r>
        <w:t>FERRAMENTA-01-Checklist-Implantacao.docx — Checklist de implantação por frente, com prazos e responsáveis;</w:t>
      </w:r>
    </w:p>
    <w:p>
      <w:pPr>
        <w:pStyle w:val="ListBullet"/>
      </w:pPr>
      <w:r>
        <w:t>FERRAMENTA-02-Matriz-Impacto-Departamentos.docx — Matriz de impacto por departamento, com priorização e cronograma;</w:t>
      </w:r>
    </w:p>
    <w:p>
      <w:pPr>
        <w:jc w:val="both"/>
      </w:pPr>
      <w:r>
        <w:rPr>
          <w:b/>
          <w:i w:val="0"/>
        </w:rPr>
        <w:t>Pasta 04_MANUAL_COMPLETO — Documento Consolidado</w:t>
      </w:r>
    </w:p>
    <w:p>
      <w:pPr>
        <w:pStyle w:val="ListBullet"/>
      </w:pPr>
      <w:r>
        <w:t>MANUAL-COMPLETO-CBS-2026.docx — Este documento, consolidando o conteúdo das demais peças;</w:t>
      </w:r>
    </w:p>
    <w:p>
      <w:pPr>
        <w:spacing w:before="360" w:after="160"/>
      </w:pPr>
      <w:r>
        <w:rPr>
          <w:b/>
          <w:color w:val="0B3D91"/>
          <w:sz w:val="40"/>
        </w:rPr>
        <w:t>Conclusão</w:t>
      </w:r>
    </w:p>
    <w:p>
      <w:pPr>
        <w:jc w:val="both"/>
      </w:pPr>
      <w:r>
        <w:rPr>
          <w:b w:val="0"/>
          <w:i w:val="0"/>
        </w:rPr>
        <w:t>A reforma tributária do consumo redesenha integralmente a relação entre empresa, fisco e consumidor no Brasil. A CBS, em particular, exige reorganização sistêmica da função tributária e revisão de praticamente todos os processos que envolvem operações com bens e serviços. O presente manual, em conjunto com os documentos temáticos, setoriais e ferramentas operacionais, oferece roteiro sólido para que a empresa atravesse a transição com segurança jurídica, eficiência operacional e preservação de margem.</w:t>
      </w:r>
    </w:p>
    <w:p>
      <w:pPr>
        <w:jc w:val="both"/>
      </w:pPr>
      <w:r>
        <w:rPr>
          <w:b w:val="0"/>
          <w:i w:val="0"/>
        </w:rPr>
        <w:t>A literatura recomendada para aprofundamento inclui: (i) Lei Complementar nº 214, de 16/01/2025 — texto integral; (ii) Decreto nº 12.955, de 29/04/2026 — texto integral; (iii) Emenda Constitucional nº 132, de 20/12/2023; (iv) materiais técnicos da Receita Federal (gov.br/receitafederal); (v) Comitê Gestor IBS/CBS (CGIBS); (vi) FGV Direito SP — Núcleo de Estudos Fiscais; (vii) Instituto Brasileiro de Direito Tributário (IBDT); (viii) ETCO — Estudos sobre a Reforma Tributária; (ix) ABRASF, CONFAZ e CONIB — orientações operacionais.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Acompanhamento contínuo é imperativo: até dezembro de 2026, são esperados dezenas de atos regulamentares complementares (RFB, CGIBS) que detalharão pontos ainda em aberto. A área Fiscal, em conjunto com Jurídico e TI, deve manter posicionamento conservador e documentado nos pontos em que há lacuna ou divergência interpretativa.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