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0E4194"/>
          <w:sz w:val="32"/>
        </w:rPr>
        <w:t>europass</w:t>
      </w:r>
      <w:r>
        <w:rPr>
          <w:rFonts w:ascii="Arial" w:hAnsi="Arial"/>
          <w:b w:val="0"/>
          <w:i w:val="0"/>
          <w:color w:val="555555"/>
          <w:sz w:val="20"/>
        </w:rPr>
        <w:t xml:space="preserve">   Curriculum Vitae — Europass</w:t>
      </w:r>
    </w:p>
    <w:p>
      <w:pPr>
        <w:spacing w:before="160"/>
      </w:pPr>
      <w:r>
        <w:rPr>
          <w:rFonts w:ascii="Arial" w:hAnsi="Arial"/>
          <w:b/>
          <w:i w:val="0"/>
          <w:sz w:val="40"/>
        </w:rPr>
        <w:t>Allan Porto</w:t>
      </w:r>
    </w:p>
    <w:p>
      <w:r>
        <w:rPr>
          <w:rFonts w:ascii="Arial" w:hAnsi="Arial"/>
          <w:b w:val="0"/>
          <w:i w:val="0"/>
          <w:color w:val="0E4194"/>
          <w:sz w:val="22"/>
        </w:rPr>
        <w:t>Architect and Urban Planner — Commercial Architecture &amp; Retail Design</w:t>
      </w:r>
    </w:p>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2268"/>
          </w:tcPr>
          <w:p>
            <w:pPr>
              <w:spacing w:after="40"/>
            </w:pPr>
            <w:r>
              <w:rPr>
                <w:rFonts w:ascii="Arial" w:hAnsi="Arial"/>
                <w:b w:val="0"/>
                <w:i w:val="0"/>
                <w:color w:val="555555"/>
                <w:sz w:val="18"/>
              </w:rPr>
              <w:t>Address</w:t>
            </w:r>
          </w:p>
        </w:tc>
        <w:tc>
          <w:tcPr>
            <w:tcW w:type="dxa" w:w="7597"/>
          </w:tcPr>
          <w:p>
            <w:pPr>
              <w:spacing w:after="40"/>
            </w:pPr>
            <w:r>
              <w:rPr>
                <w:rFonts w:ascii="Arial" w:hAnsi="Arial"/>
                <w:b w:val="0"/>
                <w:i w:val="0"/>
                <w:sz w:val="19"/>
              </w:rPr>
              <w:t>Caruaru / Recife — Pernambuco, Brazil (available to relocate to Portugal)</w:t>
            </w:r>
          </w:p>
        </w:tc>
      </w:tr>
      <w:tr>
        <w:tc>
          <w:tcPr>
            <w:tcW w:type="dxa" w:w="2268"/>
          </w:tcPr>
          <w:p>
            <w:pPr>
              <w:spacing w:after="40"/>
            </w:pPr>
            <w:r>
              <w:rPr>
                <w:rFonts w:ascii="Arial" w:hAnsi="Arial"/>
                <w:b w:val="0"/>
                <w:i w:val="0"/>
                <w:color w:val="555555"/>
                <w:sz w:val="18"/>
              </w:rPr>
              <w:t>Mobile</w:t>
            </w:r>
          </w:p>
        </w:tc>
        <w:tc>
          <w:tcPr>
            <w:tcW w:type="dxa" w:w="7597"/>
          </w:tcPr>
          <w:p>
            <w:pPr>
              <w:spacing w:after="40"/>
            </w:pPr>
            <w:r>
              <w:rPr>
                <w:rFonts w:ascii="Arial" w:hAnsi="Arial"/>
                <w:b w:val="0"/>
                <w:i w:val="0"/>
                <w:sz w:val="19"/>
              </w:rPr>
              <w:t>[fill in: +55 ...]</w:t>
            </w:r>
          </w:p>
        </w:tc>
      </w:tr>
      <w:tr>
        <w:tc>
          <w:tcPr>
            <w:tcW w:type="dxa" w:w="2268"/>
          </w:tcPr>
          <w:p>
            <w:pPr>
              <w:spacing w:after="40"/>
            </w:pPr>
            <w:r>
              <w:rPr>
                <w:rFonts w:ascii="Arial" w:hAnsi="Arial"/>
                <w:b w:val="0"/>
                <w:i w:val="0"/>
                <w:color w:val="555555"/>
                <w:sz w:val="18"/>
              </w:rPr>
              <w:t>E-mail</w:t>
            </w:r>
          </w:p>
        </w:tc>
        <w:tc>
          <w:tcPr>
            <w:tcW w:type="dxa" w:w="7597"/>
          </w:tcPr>
          <w:p>
            <w:pPr>
              <w:spacing w:after="40"/>
            </w:pPr>
            <w:r>
              <w:rPr>
                <w:rFonts w:ascii="Arial" w:hAnsi="Arial"/>
                <w:b w:val="0"/>
                <w:i w:val="0"/>
                <w:sz w:val="19"/>
              </w:rPr>
              <w:t>[fill in]</w:t>
            </w:r>
          </w:p>
        </w:tc>
      </w:tr>
      <w:tr>
        <w:tc>
          <w:tcPr>
            <w:tcW w:type="dxa" w:w="2268"/>
          </w:tcPr>
          <w:p>
            <w:pPr>
              <w:spacing w:after="40"/>
            </w:pPr>
            <w:r>
              <w:rPr>
                <w:rFonts w:ascii="Arial" w:hAnsi="Arial"/>
                <w:b w:val="0"/>
                <w:i w:val="0"/>
                <w:color w:val="555555"/>
                <w:sz w:val="18"/>
              </w:rPr>
              <w:t>Portfolio</w:t>
            </w:r>
          </w:p>
        </w:tc>
        <w:tc>
          <w:tcPr>
            <w:tcW w:type="dxa" w:w="7597"/>
          </w:tcPr>
          <w:p>
            <w:pPr>
              <w:spacing w:after="40"/>
            </w:pPr>
            <w:r>
              <w:rPr>
                <w:rFonts w:ascii="Arial" w:hAnsi="Arial"/>
                <w:b w:val="0"/>
                <w:i w:val="0"/>
                <w:sz w:val="19"/>
              </w:rPr>
              <w:t>Instagram @allanportopontes_arquitetura</w:t>
            </w:r>
          </w:p>
        </w:tc>
      </w:tr>
      <w:tr>
        <w:tc>
          <w:tcPr>
            <w:tcW w:type="dxa" w:w="2268"/>
          </w:tcPr>
          <w:p>
            <w:pPr>
              <w:spacing w:after="40"/>
            </w:pPr>
            <w:r>
              <w:rPr>
                <w:rFonts w:ascii="Arial" w:hAnsi="Arial"/>
                <w:b w:val="0"/>
                <w:i w:val="0"/>
                <w:color w:val="555555"/>
                <w:sz w:val="18"/>
              </w:rPr>
              <w:t>Nationality</w:t>
            </w:r>
          </w:p>
        </w:tc>
        <w:tc>
          <w:tcPr>
            <w:tcW w:type="dxa" w:w="7597"/>
          </w:tcPr>
          <w:p>
            <w:pPr>
              <w:spacing w:after="40"/>
            </w:pPr>
            <w:r>
              <w:rPr>
                <w:rFonts w:ascii="Arial" w:hAnsi="Arial"/>
                <w:b w:val="0"/>
                <w:i w:val="0"/>
                <w:sz w:val="19"/>
              </w:rPr>
              <w:t>Brazilian</w:t>
            </w:r>
          </w:p>
        </w:tc>
      </w:tr>
      <w:tr>
        <w:tc>
          <w:tcPr>
            <w:tcW w:type="dxa" w:w="2268"/>
          </w:tcPr>
          <w:p>
            <w:pPr>
              <w:spacing w:after="40"/>
            </w:pPr>
            <w:r>
              <w:rPr>
                <w:rFonts w:ascii="Arial" w:hAnsi="Arial"/>
                <w:b w:val="0"/>
                <w:i w:val="0"/>
                <w:color w:val="555555"/>
                <w:sz w:val="18"/>
              </w:rPr>
              <w:t>Driving licence</w:t>
            </w:r>
          </w:p>
        </w:tc>
        <w:tc>
          <w:tcPr>
            <w:tcW w:type="dxa" w:w="7597"/>
          </w:tcPr>
          <w:p>
            <w:pPr>
              <w:spacing w:after="40"/>
            </w:pPr>
            <w:r>
              <w:rPr>
                <w:rFonts w:ascii="Arial" w:hAnsi="Arial"/>
                <w:b w:val="0"/>
                <w:i w:val="0"/>
                <w:sz w:val="19"/>
              </w:rPr>
              <w:t>Yes (category to confirm)</w:t>
            </w:r>
          </w:p>
        </w:tc>
      </w:tr>
    </w:tbl>
    <w:p>
      <w:pPr>
        <w:spacing w:before="160"/>
      </w:pPr>
      <w:r>
        <w:rPr>
          <w:rFonts w:ascii="Arial" w:hAnsi="Arial"/>
          <w:b w:val="0"/>
          <w:i w:val="0"/>
          <w:sz w:val="20"/>
        </w:rPr>
        <w:t>Architect and urban planner with 10 years of professional practice in the public and private sectors (construction companies, architecture studios and an advertising agency). Specialised in commercial architecture, combining marketing, UX and UI Design to create strategic and functional spaces, with experience in project management, commercial construction management and space expansion.</w:t>
      </w:r>
    </w:p>
    <w:p>
      <w:pPr>
        <w:spacing w:before="240" w:after="80"/>
        <w:pBdr>
          <w:bottom w:val="single" w:sz="6" w:space="1" w:color="0E4194"/>
        </w:pBdr>
      </w:pPr>
      <w:r>
        <w:rPr>
          <w:rFonts w:ascii="Arial" w:hAnsi="Arial"/>
          <w:b/>
          <w:i w:val="0"/>
          <w:color w:val="0E4194"/>
          <w:sz w:val="22"/>
        </w:rPr>
        <w:t>WORK EXPERIENCE</w:t>
      </w:r>
    </w:p>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2268"/>
          </w:tcPr>
          <w:p>
            <w:pPr>
              <w:spacing w:after="40"/>
            </w:pPr>
            <w:r>
              <w:rPr>
                <w:rFonts w:ascii="Arial" w:hAnsi="Arial"/>
                <w:b w:val="0"/>
                <w:i w:val="0"/>
                <w:color w:val="555555"/>
                <w:sz w:val="18"/>
              </w:rPr>
              <w:t>[dates to fill in]</w:t>
            </w:r>
          </w:p>
        </w:tc>
        <w:tc>
          <w:tcPr>
            <w:tcW w:type="dxa" w:w="7597"/>
          </w:tcPr>
          <w:p>
            <w:pPr>
              <w:spacing w:after="40"/>
            </w:pPr>
            <w:r>
              <w:rPr>
                <w:rFonts w:ascii="Arial" w:hAnsi="Arial"/>
                <w:b/>
                <w:i w:val="0"/>
                <w:sz w:val="21"/>
              </w:rPr>
              <w:t>Director of Expansion and New Business</w:t>
            </w:r>
          </w:p>
          <w:p>
            <w:pPr>
              <w:spacing w:after="40"/>
            </w:pPr>
            <w:r>
              <w:rPr>
                <w:rFonts w:ascii="Arial" w:hAnsi="Arial"/>
                <w:b w:val="0"/>
                <w:i w:val="0"/>
                <w:color w:val="0E4194"/>
                <w:sz w:val="19"/>
              </w:rPr>
              <w:t>Porto Office Coworking — Pernambuco, Brazil</w:t>
            </w:r>
          </w:p>
          <w:p>
            <w:pPr>
              <w:spacing w:after="40"/>
            </w:pPr>
            <w:r>
              <w:rPr>
                <w:rFonts w:ascii="Arial" w:hAnsi="Arial"/>
                <w:b w:val="0"/>
                <w:i w:val="0"/>
                <w:sz w:val="19"/>
              </w:rPr>
              <w:t>Expansion and adaptation of workspaces focused on user experience and return on investment; new business development.</w:t>
            </w:r>
          </w:p>
        </w:tc>
      </w:tr>
      <w:tr>
        <w:tc>
          <w:tcPr>
            <w:tcW w:type="dxa" w:w="2268"/>
          </w:tcPr>
          <w:p>
            <w:pPr>
              <w:spacing w:after="40"/>
            </w:pPr>
            <w:r>
              <w:rPr>
                <w:rFonts w:ascii="Arial" w:hAnsi="Arial"/>
                <w:b w:val="0"/>
                <w:i w:val="0"/>
                <w:color w:val="555555"/>
                <w:sz w:val="18"/>
              </w:rPr>
              <w:t>2017 – 2022</w:t>
            </w:r>
          </w:p>
        </w:tc>
        <w:tc>
          <w:tcPr>
            <w:tcW w:type="dxa" w:w="7597"/>
          </w:tcPr>
          <w:p>
            <w:pPr>
              <w:spacing w:after="40"/>
            </w:pPr>
            <w:r>
              <w:rPr>
                <w:rFonts w:ascii="Arial" w:hAnsi="Arial"/>
                <w:b/>
                <w:i w:val="0"/>
                <w:sz w:val="21"/>
              </w:rPr>
              <w:t>Senior Architect and Urban Planner</w:t>
            </w:r>
          </w:p>
          <w:p>
            <w:pPr>
              <w:spacing w:after="40"/>
            </w:pPr>
            <w:r>
              <w:rPr>
                <w:rFonts w:ascii="Arial" w:hAnsi="Arial"/>
                <w:b w:val="0"/>
                <w:i w:val="0"/>
                <w:color w:val="0E4194"/>
                <w:sz w:val="19"/>
              </w:rPr>
              <w:t>Layout Arquitetura e Urbanismo — Pernambuco, Brazil</w:t>
            </w:r>
          </w:p>
          <w:p>
            <w:pPr>
              <w:spacing w:after="40"/>
            </w:pPr>
            <w:r>
              <w:rPr>
                <w:rFonts w:ascii="Arial" w:hAnsi="Arial"/>
                <w:b w:val="0"/>
                <w:i w:val="0"/>
                <w:sz w:val="19"/>
              </w:rPr>
              <w:t>Residential and commercial architecture and interior projects, from client brief to construction follow-up; presentations and visual simulations.</w:t>
            </w:r>
          </w:p>
        </w:tc>
      </w:tr>
      <w:tr>
        <w:tc>
          <w:tcPr>
            <w:tcW w:type="dxa" w:w="2268"/>
          </w:tcPr>
          <w:p>
            <w:pPr>
              <w:spacing w:after="40"/>
            </w:pPr>
            <w:r>
              <w:rPr>
                <w:rFonts w:ascii="Arial" w:hAnsi="Arial"/>
                <w:b w:val="0"/>
                <w:i w:val="0"/>
                <w:color w:val="555555"/>
                <w:sz w:val="18"/>
              </w:rPr>
              <w:t>2017</w:t>
            </w:r>
          </w:p>
        </w:tc>
        <w:tc>
          <w:tcPr>
            <w:tcW w:type="dxa" w:w="7597"/>
          </w:tcPr>
          <w:p>
            <w:pPr>
              <w:spacing w:after="40"/>
            </w:pPr>
            <w:r>
              <w:rPr>
                <w:rFonts w:ascii="Arial" w:hAnsi="Arial"/>
                <w:b/>
                <w:i w:val="0"/>
                <w:sz w:val="21"/>
              </w:rPr>
              <w:t>Commercial Works Manager</w:t>
            </w:r>
          </w:p>
          <w:p>
            <w:pPr>
              <w:spacing w:after="40"/>
            </w:pPr>
            <w:r>
              <w:rPr>
                <w:rFonts w:ascii="Arial" w:hAnsi="Arial"/>
                <w:b w:val="0"/>
                <w:i w:val="0"/>
                <w:color w:val="0E4194"/>
                <w:sz w:val="19"/>
              </w:rPr>
              <w:t>Athena Engenharia — Pernambuco, Brazil</w:t>
            </w:r>
          </w:p>
          <w:p>
            <w:pPr>
              <w:spacing w:after="40"/>
            </w:pPr>
            <w:r>
              <w:rPr>
                <w:rFonts w:ascii="Arial" w:hAnsi="Arial"/>
                <w:b w:val="0"/>
                <w:i w:val="0"/>
                <w:sz w:val="19"/>
              </w:rPr>
              <w:t>Management and supervision of commercial construction works: contractors, schedules, quality and compliance with the design.</w:t>
            </w:r>
          </w:p>
        </w:tc>
      </w:tr>
      <w:tr>
        <w:tc>
          <w:tcPr>
            <w:tcW w:type="dxa" w:w="2268"/>
          </w:tcPr>
          <w:p>
            <w:pPr>
              <w:spacing w:after="40"/>
            </w:pPr>
            <w:r>
              <w:rPr>
                <w:rFonts w:ascii="Arial" w:hAnsi="Arial"/>
                <w:b w:val="0"/>
                <w:i w:val="0"/>
                <w:color w:val="555555"/>
                <w:sz w:val="18"/>
              </w:rPr>
              <w:t>2010 – 2014</w:t>
            </w:r>
          </w:p>
        </w:tc>
        <w:tc>
          <w:tcPr>
            <w:tcW w:type="dxa" w:w="7597"/>
          </w:tcPr>
          <w:p>
            <w:pPr>
              <w:spacing w:after="40"/>
            </w:pPr>
            <w:r>
              <w:rPr>
                <w:rFonts w:ascii="Arial" w:hAnsi="Arial"/>
                <w:b/>
                <w:i w:val="0"/>
                <w:sz w:val="21"/>
              </w:rPr>
              <w:t>Architectural Projects Manager</w:t>
            </w:r>
          </w:p>
          <w:p>
            <w:pPr>
              <w:spacing w:after="40"/>
            </w:pPr>
            <w:r>
              <w:rPr>
                <w:rFonts w:ascii="Arial" w:hAnsi="Arial"/>
                <w:b w:val="0"/>
                <w:i w:val="0"/>
                <w:color w:val="0E4194"/>
                <w:sz w:val="19"/>
              </w:rPr>
              <w:t>URB Caruaru — Caruaru, Pernambuco, Brazil</w:t>
            </w:r>
          </w:p>
          <w:p>
            <w:pPr>
              <w:spacing w:after="40"/>
            </w:pPr>
            <w:r>
              <w:rPr>
                <w:rFonts w:ascii="Arial" w:hAnsi="Arial"/>
                <w:b w:val="0"/>
                <w:i w:val="0"/>
                <w:sz w:val="19"/>
              </w:rPr>
              <w:t>Coordination of architectural and urban projects in the public sector: schedules, teams, technical documentation and liaison with public bodies.</w:t>
            </w:r>
          </w:p>
        </w:tc>
      </w:tr>
    </w:tbl>
    <w:p>
      <w:pPr>
        <w:spacing w:before="240" w:after="80"/>
        <w:pBdr>
          <w:bottom w:val="single" w:sz="6" w:space="1" w:color="0E4194"/>
        </w:pBdr>
      </w:pPr>
      <w:r>
        <w:rPr>
          <w:rFonts w:ascii="Arial" w:hAnsi="Arial"/>
          <w:b/>
          <w:i w:val="0"/>
          <w:color w:val="0E4194"/>
          <w:sz w:val="22"/>
        </w:rPr>
        <w:t>EDUCATION AND TRAINING</w:t>
      </w:r>
    </w:p>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2268"/>
          </w:tcPr>
          <w:p>
            <w:pPr>
              <w:spacing w:after="40"/>
            </w:pPr>
            <w:r>
              <w:rPr>
                <w:rFonts w:ascii="Arial" w:hAnsi="Arial"/>
                <w:b w:val="0"/>
                <w:i w:val="0"/>
                <w:color w:val="555555"/>
                <w:sz w:val="18"/>
              </w:rPr>
              <w:t>[year to fill in]</w:t>
            </w:r>
          </w:p>
        </w:tc>
        <w:tc>
          <w:tcPr>
            <w:tcW w:type="dxa" w:w="7597"/>
          </w:tcPr>
          <w:p>
            <w:pPr>
              <w:spacing w:after="40"/>
            </w:pPr>
            <w:r>
              <w:rPr>
                <w:rFonts w:ascii="Arial" w:hAnsi="Arial"/>
                <w:b/>
                <w:i w:val="0"/>
                <w:sz w:val="20"/>
              </w:rPr>
              <w:t>Postgraduate degree in Commercial Architecture — Master in Retail Design</w:t>
            </w:r>
          </w:p>
          <w:p>
            <w:pPr>
              <w:spacing w:after="40"/>
            </w:pPr>
            <w:r>
              <w:rPr>
                <w:rFonts w:ascii="Arial" w:hAnsi="Arial"/>
                <w:b w:val="0"/>
                <w:i w:val="0"/>
                <w:color w:val="0E4194"/>
                <w:sz w:val="19"/>
              </w:rPr>
              <w:t>IPOG — Brazil</w:t>
            </w:r>
          </w:p>
        </w:tc>
      </w:tr>
      <w:tr>
        <w:tc>
          <w:tcPr>
            <w:tcW w:type="dxa" w:w="2268"/>
          </w:tcPr>
          <w:p>
            <w:pPr>
              <w:spacing w:after="40"/>
            </w:pPr>
            <w:r>
              <w:rPr>
                <w:rFonts w:ascii="Arial" w:hAnsi="Arial"/>
                <w:b w:val="0"/>
                <w:i w:val="0"/>
                <w:color w:val="555555"/>
                <w:sz w:val="18"/>
              </w:rPr>
              <w:t>2016</w:t>
            </w:r>
          </w:p>
        </w:tc>
        <w:tc>
          <w:tcPr>
            <w:tcW w:type="dxa" w:w="7597"/>
          </w:tcPr>
          <w:p>
            <w:pPr>
              <w:spacing w:after="40"/>
            </w:pPr>
            <w:r>
              <w:rPr>
                <w:rFonts w:ascii="Arial" w:hAnsi="Arial"/>
                <w:b/>
                <w:i w:val="0"/>
                <w:sz w:val="20"/>
              </w:rPr>
              <w:t>Bachelor’s degree in Architecture and Urban Planning</w:t>
            </w:r>
          </w:p>
          <w:p>
            <w:pPr>
              <w:spacing w:after="40"/>
            </w:pPr>
            <w:r>
              <w:rPr>
                <w:rFonts w:ascii="Arial" w:hAnsi="Arial"/>
                <w:b w:val="0"/>
                <w:i w:val="0"/>
                <w:color w:val="0E4194"/>
                <w:sz w:val="19"/>
              </w:rPr>
              <w:t>UNIFAVIP DeVry — Caruaru, Brazil</w:t>
            </w:r>
          </w:p>
        </w:tc>
      </w:tr>
      <w:tr>
        <w:tc>
          <w:tcPr>
            <w:tcW w:type="dxa" w:w="2268"/>
          </w:tcPr>
          <w:p>
            <w:pPr>
              <w:spacing w:after="40"/>
            </w:pPr>
            <w:r>
              <w:rPr>
                <w:rFonts w:ascii="Arial" w:hAnsi="Arial"/>
                <w:b w:val="0"/>
                <w:i w:val="0"/>
                <w:color w:val="555555"/>
                <w:sz w:val="18"/>
              </w:rPr>
              <w:t>—</w:t>
            </w:r>
          </w:p>
        </w:tc>
        <w:tc>
          <w:tcPr>
            <w:tcW w:type="dxa" w:w="7597"/>
          </w:tcPr>
          <w:p>
            <w:pPr>
              <w:spacing w:after="40"/>
            </w:pPr>
            <w:r>
              <w:rPr>
                <w:rFonts w:ascii="Arial" w:hAnsi="Arial"/>
                <w:b/>
                <w:i w:val="0"/>
                <w:sz w:val="20"/>
              </w:rPr>
              <w:t>Professional registration: CAU-PE A166156-6 (Brazilian Council of Architecture and Urbanism)</w:t>
            </w:r>
          </w:p>
        </w:tc>
      </w:tr>
    </w:tbl>
    <w:p>
      <w:pPr>
        <w:spacing w:before="240" w:after="80"/>
        <w:pBdr>
          <w:bottom w:val="single" w:sz="6" w:space="1" w:color="0E4194"/>
        </w:pBdr>
      </w:pPr>
      <w:r>
        <w:rPr>
          <w:rFonts w:ascii="Arial" w:hAnsi="Arial"/>
          <w:b/>
          <w:i w:val="0"/>
          <w:color w:val="0E4194"/>
          <w:sz w:val="22"/>
        </w:rPr>
        <w:t>ADDITIONAL COURSES</w:t>
      </w:r>
    </w:p>
    <w:p>
      <w:pPr>
        <w:pStyle w:val="ListBullet"/>
        <w:spacing w:after="20"/>
      </w:pPr>
      <w:r>
        <w:rPr>
          <w:rFonts w:ascii="Arial" w:hAnsi="Arial"/>
          <w:b w:val="0"/>
          <w:i w:val="0"/>
          <w:sz w:val="19"/>
        </w:rPr>
        <w:t>User-Centred Design — PUCRS (2025)</w:t>
      </w:r>
    </w:p>
    <w:p>
      <w:pPr>
        <w:pStyle w:val="ListBullet"/>
        <w:spacing w:after="20"/>
      </w:pPr>
      <w:r>
        <w:rPr>
          <w:rFonts w:ascii="Arial" w:hAnsi="Arial"/>
          <w:b w:val="0"/>
          <w:i w:val="0"/>
          <w:sz w:val="19"/>
        </w:rPr>
        <w:t>UX and UI Design Processes — PUCRS (2025)</w:t>
      </w:r>
    </w:p>
    <w:p>
      <w:pPr>
        <w:pStyle w:val="ListBullet"/>
        <w:spacing w:after="20"/>
      </w:pPr>
      <w:r>
        <w:rPr>
          <w:rFonts w:ascii="Arial" w:hAnsi="Arial"/>
          <w:b w:val="0"/>
          <w:i w:val="0"/>
          <w:sz w:val="19"/>
        </w:rPr>
        <w:t>Foresight — Smart Cities — CESAR School (2022)</w:t>
      </w:r>
    </w:p>
    <w:p>
      <w:pPr>
        <w:pStyle w:val="ListBullet"/>
        <w:spacing w:after="20"/>
      </w:pPr>
      <w:r>
        <w:rPr>
          <w:rFonts w:ascii="Arial" w:hAnsi="Arial"/>
          <w:b w:val="0"/>
          <w:i w:val="0"/>
          <w:sz w:val="19"/>
        </w:rPr>
        <w:t>Georeferencing with Google Earth (2016)</w:t>
      </w:r>
    </w:p>
    <w:p>
      <w:pPr>
        <w:pStyle w:val="ListBullet"/>
        <w:spacing w:after="20"/>
      </w:pPr>
      <w:r>
        <w:rPr>
          <w:rFonts w:ascii="Arial" w:hAnsi="Arial"/>
          <w:b w:val="0"/>
          <w:i w:val="0"/>
          <w:sz w:val="19"/>
        </w:rPr>
        <w:t>City Analysis and Management — SEURB (2012)</w:t>
      </w:r>
    </w:p>
    <w:p>
      <w:pPr>
        <w:pStyle w:val="ListBullet"/>
        <w:spacing w:after="20"/>
      </w:pPr>
      <w:r>
        <w:rPr>
          <w:rFonts w:ascii="Arial" w:hAnsi="Arial"/>
          <w:b w:val="0"/>
          <w:i w:val="0"/>
          <w:sz w:val="19"/>
        </w:rPr>
        <w:t>Architectural Project Management</w:t>
      </w:r>
    </w:p>
    <w:p>
      <w:pPr>
        <w:spacing w:before="240" w:after="80"/>
        <w:pBdr>
          <w:bottom w:val="single" w:sz="6" w:space="1" w:color="0E4194"/>
        </w:pBdr>
      </w:pPr>
      <w:r>
        <w:rPr>
          <w:rFonts w:ascii="Arial" w:hAnsi="Arial"/>
          <w:b/>
          <w:i w:val="0"/>
          <w:color w:val="0E4194"/>
          <w:sz w:val="22"/>
        </w:rPr>
        <w:t>LANGUAGE SKILLS</w:t>
      </w:r>
    </w:p>
    <w:p>
      <w:r>
        <w:rPr>
          <w:rFonts w:ascii="Arial" w:hAnsi="Arial"/>
          <w:b/>
          <w:i w:val="0"/>
          <w:sz w:val="20"/>
        </w:rPr>
        <w:t>Mother tongue: Portuguese</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spacing w:after="40"/>
            </w:pPr>
            <w:r>
              <w:rPr>
                <w:rFonts w:ascii="Arial" w:hAnsi="Arial"/>
                <w:b/>
                <w:i w:val="0"/>
                <w:color w:val="0E4194"/>
                <w:sz w:val="17"/>
              </w:rPr>
              <w:t>Language</w:t>
            </w:r>
          </w:p>
        </w:tc>
        <w:tc>
          <w:tcPr>
            <w:tcW w:type="dxa" w:w="1700"/>
          </w:tcPr>
          <w:p>
            <w:pPr>
              <w:spacing w:after="40"/>
            </w:pPr>
            <w:r>
              <w:rPr>
                <w:rFonts w:ascii="Arial" w:hAnsi="Arial"/>
                <w:b/>
                <w:i w:val="0"/>
                <w:color w:val="0E4194"/>
                <w:sz w:val="17"/>
              </w:rPr>
              <w:t>Listening</w:t>
            </w:r>
          </w:p>
        </w:tc>
        <w:tc>
          <w:tcPr>
            <w:tcW w:type="dxa" w:w="1700"/>
          </w:tcPr>
          <w:p>
            <w:pPr>
              <w:spacing w:after="40"/>
            </w:pPr>
            <w:r>
              <w:rPr>
                <w:rFonts w:ascii="Arial" w:hAnsi="Arial"/>
                <w:b/>
                <w:i w:val="0"/>
                <w:color w:val="0E4194"/>
                <w:sz w:val="17"/>
              </w:rPr>
              <w:t>Reading</w:t>
            </w:r>
          </w:p>
        </w:tc>
        <w:tc>
          <w:tcPr>
            <w:tcW w:type="dxa" w:w="1700"/>
          </w:tcPr>
          <w:p>
            <w:pPr>
              <w:spacing w:after="40"/>
            </w:pPr>
            <w:r>
              <w:rPr>
                <w:rFonts w:ascii="Arial" w:hAnsi="Arial"/>
                <w:b/>
                <w:i w:val="0"/>
                <w:color w:val="0E4194"/>
                <w:sz w:val="17"/>
              </w:rPr>
              <w:t>Spoken interaction</w:t>
            </w:r>
          </w:p>
        </w:tc>
        <w:tc>
          <w:tcPr>
            <w:tcW w:type="dxa" w:w="1700"/>
          </w:tcPr>
          <w:p>
            <w:pPr>
              <w:spacing w:after="40"/>
            </w:pPr>
            <w:r>
              <w:rPr>
                <w:rFonts w:ascii="Arial" w:hAnsi="Arial"/>
                <w:b/>
                <w:i w:val="0"/>
                <w:color w:val="0E4194"/>
                <w:sz w:val="17"/>
              </w:rPr>
              <w:t>Spoken production</w:t>
            </w:r>
          </w:p>
        </w:tc>
        <w:tc>
          <w:tcPr>
            <w:tcW w:type="dxa" w:w="1700"/>
          </w:tcPr>
          <w:p>
            <w:pPr>
              <w:spacing w:after="40"/>
            </w:pPr>
            <w:r>
              <w:rPr>
                <w:rFonts w:ascii="Arial" w:hAnsi="Arial"/>
                <w:b/>
                <w:i w:val="0"/>
                <w:color w:val="0E4194"/>
                <w:sz w:val="17"/>
              </w:rPr>
              <w:t>Writing</w:t>
            </w:r>
          </w:p>
        </w:tc>
      </w:tr>
      <w:tr>
        <w:tc>
          <w:tcPr>
            <w:tcW w:type="dxa" w:w="1700"/>
          </w:tcPr>
          <w:p>
            <w:pPr>
              <w:spacing w:after="40"/>
            </w:pPr>
            <w:r>
              <w:rPr>
                <w:rFonts w:ascii="Arial" w:hAnsi="Arial"/>
                <w:b w:val="0"/>
                <w:i w:val="0"/>
                <w:sz w:val="19"/>
              </w:rPr>
              <w:t>English</w:t>
            </w:r>
          </w:p>
        </w:tc>
        <w:tc>
          <w:tcPr>
            <w:tcW w:type="dxa" w:w="1700"/>
          </w:tcPr>
          <w:p>
            <w:pPr>
              <w:spacing w:after="40"/>
            </w:pPr>
            <w:r>
              <w:rPr>
                <w:rFonts w:ascii="Arial" w:hAnsi="Arial"/>
                <w:b w:val="0"/>
                <w:i w:val="0"/>
                <w:sz w:val="19"/>
              </w:rPr>
              <w:t>B1</w:t>
            </w:r>
          </w:p>
        </w:tc>
        <w:tc>
          <w:tcPr>
            <w:tcW w:type="dxa" w:w="1700"/>
          </w:tcPr>
          <w:p>
            <w:pPr>
              <w:spacing w:after="40"/>
            </w:pPr>
            <w:r>
              <w:rPr>
                <w:rFonts w:ascii="Arial" w:hAnsi="Arial"/>
                <w:b w:val="0"/>
                <w:i w:val="0"/>
                <w:sz w:val="19"/>
              </w:rPr>
              <w:t>B1</w:t>
            </w:r>
          </w:p>
        </w:tc>
        <w:tc>
          <w:tcPr>
            <w:tcW w:type="dxa" w:w="1700"/>
          </w:tcPr>
          <w:p>
            <w:pPr>
              <w:spacing w:after="40"/>
            </w:pPr>
            <w:r>
              <w:rPr>
                <w:rFonts w:ascii="Arial" w:hAnsi="Arial"/>
                <w:b w:val="0"/>
                <w:i w:val="0"/>
                <w:sz w:val="19"/>
              </w:rPr>
              <w:t>B1</w:t>
            </w:r>
          </w:p>
        </w:tc>
        <w:tc>
          <w:tcPr>
            <w:tcW w:type="dxa" w:w="1700"/>
          </w:tcPr>
          <w:p>
            <w:pPr>
              <w:spacing w:after="40"/>
            </w:pPr>
            <w:r>
              <w:rPr>
                <w:rFonts w:ascii="Arial" w:hAnsi="Arial"/>
                <w:b w:val="0"/>
                <w:i w:val="0"/>
                <w:sz w:val="19"/>
              </w:rPr>
              <w:t>B1</w:t>
            </w:r>
          </w:p>
        </w:tc>
        <w:tc>
          <w:tcPr>
            <w:tcW w:type="dxa" w:w="1700"/>
          </w:tcPr>
          <w:p>
            <w:pPr>
              <w:spacing w:after="40"/>
            </w:pPr>
            <w:r>
              <w:rPr>
                <w:rFonts w:ascii="Arial" w:hAnsi="Arial"/>
                <w:b w:val="0"/>
                <w:i w:val="0"/>
                <w:sz w:val="19"/>
              </w:rPr>
              <w:t>B1</w:t>
            </w:r>
          </w:p>
        </w:tc>
      </w:tr>
    </w:tbl>
    <w:p>
      <w:r>
        <w:rPr>
          <w:rFonts w:ascii="Arial" w:hAnsi="Arial"/>
          <w:b w:val="0"/>
          <w:i/>
          <w:color w:val="555555"/>
          <w:sz w:val="16"/>
        </w:rPr>
        <w:t>Levels: Common European Framework of Reference (CEFR). Self-assessment.</w:t>
      </w:r>
    </w:p>
    <w:p>
      <w:pPr>
        <w:spacing w:before="240" w:after="80"/>
        <w:pBdr>
          <w:bottom w:val="single" w:sz="6" w:space="1" w:color="0E4194"/>
        </w:pBdr>
      </w:pPr>
      <w:r>
        <w:rPr>
          <w:rFonts w:ascii="Arial" w:hAnsi="Arial"/>
          <w:b/>
          <w:i w:val="0"/>
          <w:color w:val="0E4194"/>
          <w:sz w:val="22"/>
        </w:rPr>
        <w:t>DIGITAL SKILLS</w:t>
      </w:r>
    </w:p>
    <w:p>
      <w:r>
        <w:rPr>
          <w:rFonts w:ascii="Arial" w:hAnsi="Arial"/>
          <w:b w:val="0"/>
          <w:i w:val="0"/>
          <w:sz w:val="19"/>
        </w:rPr>
        <w:t>AutoCAD (advanced) · SketchUp (advanced) · Layout (SketchUp) · Photoshop · Revit (basic) · Generative AI for rendering and presentations · Microsoft Office (to confirm) · Claude Code / GitHub</w:t>
      </w:r>
    </w:p>
    <w:p>
      <w:pPr>
        <w:spacing w:before="240" w:after="80"/>
        <w:pBdr>
          <w:bottom w:val="single" w:sz="6" w:space="1" w:color="0E4194"/>
        </w:pBdr>
      </w:pPr>
      <w:r>
        <w:rPr>
          <w:rFonts w:ascii="Arial" w:hAnsi="Arial"/>
          <w:b/>
          <w:i w:val="0"/>
          <w:color w:val="0E4194"/>
          <w:sz w:val="22"/>
        </w:rPr>
        <w:t>ADDITIONAL INFORMATION</w:t>
      </w:r>
    </w:p>
    <w:p>
      <w:pPr>
        <w:pStyle w:val="ListBullet"/>
      </w:pPr>
      <w:r>
        <w:rPr>
          <w:rFonts w:ascii="Arial" w:hAnsi="Arial"/>
          <w:b w:val="0"/>
          <w:i w:val="0"/>
          <w:sz w:val="19"/>
        </w:rPr>
        <w:t>Available to relocate to Portugal with family.</w:t>
      </w:r>
    </w:p>
    <w:p>
      <w:pPr>
        <w:pStyle w:val="ListBullet"/>
      </w:pPr>
      <w:r>
        <w:rPr>
          <w:rFonts w:ascii="Arial" w:hAnsi="Arial"/>
          <w:b w:val="0"/>
          <w:i w:val="0"/>
          <w:sz w:val="19"/>
        </w:rPr>
        <w:t>Degree recognition and registration with the Ordem dos Arquitectos to be started (CAU–OA agreement).</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