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i w:val="0"/>
          <w:color w:val="0E4194"/>
          <w:sz w:val="32"/>
        </w:rPr>
        <w:t>europass</w:t>
      </w:r>
      <w:r>
        <w:rPr>
          <w:rFonts w:ascii="Arial" w:hAnsi="Arial"/>
          <w:b w:val="0"/>
          <w:i w:val="0"/>
          <w:color w:val="555555"/>
          <w:sz w:val="20"/>
        </w:rPr>
        <w:t xml:space="preserve">   Curriculum Vitae — Europass</w:t>
      </w:r>
    </w:p>
    <w:p>
      <w:pPr>
        <w:spacing w:before="160"/>
      </w:pPr>
      <w:r>
        <w:rPr>
          <w:rFonts w:ascii="Arial" w:hAnsi="Arial"/>
          <w:b/>
          <w:i w:val="0"/>
          <w:sz w:val="40"/>
        </w:rPr>
        <w:t>Allan Porto</w:t>
      </w:r>
    </w:p>
    <w:p>
      <w:r>
        <w:rPr>
          <w:rFonts w:ascii="Arial" w:hAnsi="Arial"/>
          <w:b w:val="0"/>
          <w:i w:val="0"/>
          <w:color w:val="0E4194"/>
          <w:sz w:val="22"/>
        </w:rPr>
        <w:t>Arquiteto e Urbanista — Arquitetura Comercial e Retail Design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226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55555"/>
                <w:sz w:val="18"/>
              </w:rPr>
              <w:t>Morada</w:t>
            </w:r>
          </w:p>
        </w:tc>
        <w:tc>
          <w:tcPr>
            <w:tcW w:type="dxa" w:w="7597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Caruaru / Recife — Pernambuco, Brasil (disponível para relocalização em Portugal)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55555"/>
                <w:sz w:val="18"/>
              </w:rPr>
              <w:t>Telemóvel</w:t>
            </w:r>
          </w:p>
        </w:tc>
        <w:tc>
          <w:tcPr>
            <w:tcW w:type="dxa" w:w="7597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[preencher: +55 ...]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55555"/>
                <w:sz w:val="18"/>
              </w:rPr>
              <w:t>E-mail</w:t>
            </w:r>
          </w:p>
        </w:tc>
        <w:tc>
          <w:tcPr>
            <w:tcW w:type="dxa" w:w="7597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[preencher]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55555"/>
                <w:sz w:val="18"/>
              </w:rPr>
              <w:t>Portefólio</w:t>
            </w:r>
          </w:p>
        </w:tc>
        <w:tc>
          <w:tcPr>
            <w:tcW w:type="dxa" w:w="7597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Instagram @allanportopontes_arquitetura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55555"/>
                <w:sz w:val="18"/>
              </w:rPr>
              <w:t>Nacionalidade</w:t>
            </w:r>
          </w:p>
        </w:tc>
        <w:tc>
          <w:tcPr>
            <w:tcW w:type="dxa" w:w="7597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Brasileira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55555"/>
                <w:sz w:val="18"/>
              </w:rPr>
              <w:t>Carta de condução</w:t>
            </w:r>
          </w:p>
        </w:tc>
        <w:tc>
          <w:tcPr>
            <w:tcW w:type="dxa" w:w="7597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Sim (categoria a confirmar)</w:t>
            </w:r>
          </w:p>
        </w:tc>
      </w:tr>
    </w:tbl>
    <w:p>
      <w:pPr>
        <w:spacing w:before="160"/>
      </w:pPr>
      <w:r>
        <w:rPr>
          <w:rFonts w:ascii="Arial" w:hAnsi="Arial"/>
          <w:b w:val="0"/>
          <w:i w:val="0"/>
          <w:sz w:val="20"/>
        </w:rPr>
        <w:t>Arquiteto e urbanista com 10 anos de profissão e experiência nos setores público e privado (construtoras, ateliês e agência de publicidade). Especialista em arquitetura comercial, integrando marketing, UX e UI Design para criar espaços estratégicos e funcionais, com experiência em gestão de projetos, gestão de obras comerciais e expansão de espaços.</w:t>
      </w:r>
    </w:p>
    <w:p>
      <w:pPr>
        <w:spacing w:before="240" w:after="80"/>
        <w:pBdr>
          <w:bottom w:val="single" w:sz="6" w:space="1" w:color="0E4194"/>
        </w:pBdr>
      </w:pPr>
      <w:r>
        <w:rPr>
          <w:rFonts w:ascii="Arial" w:hAnsi="Arial"/>
          <w:b/>
          <w:i w:val="0"/>
          <w:color w:val="0E4194"/>
          <w:sz w:val="22"/>
        </w:rPr>
        <w:t>EXPERIÊNCIA PROFISSIONAL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226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55555"/>
                <w:sz w:val="18"/>
              </w:rPr>
              <w:t>[datas a preencher]</w:t>
            </w:r>
          </w:p>
        </w:tc>
        <w:tc>
          <w:tcPr>
            <w:tcW w:type="dxa" w:w="759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21"/>
              </w:rPr>
              <w:t>Diretor de Expansão e Novos Negócios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0E4194"/>
                <w:sz w:val="19"/>
              </w:rPr>
              <w:t>Porto Office Coworking — Pernambuco, Brasil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Expansão e adaptação de espaços de trabalho, com foco em experiência do utilizador e rentabilidade; desenvolvimento de novos negócios.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55555"/>
                <w:sz w:val="18"/>
              </w:rPr>
              <w:t>2017 – 2022</w:t>
            </w:r>
          </w:p>
        </w:tc>
        <w:tc>
          <w:tcPr>
            <w:tcW w:type="dxa" w:w="759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21"/>
              </w:rPr>
              <w:t>Arquiteto e Urbanista Sénior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0E4194"/>
                <w:sz w:val="19"/>
              </w:rPr>
              <w:t>Layout Arquitetura e Urbanismo — Pernambuco, Brasil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Projetos de arquitetura e interiores residenciais e comerciais, desde o levantamento de necessidades do cliente até ao acompanhamento de obra; apresentações e simulações visuais.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55555"/>
                <w:sz w:val="18"/>
              </w:rPr>
              <w:t>2017</w:t>
            </w:r>
          </w:p>
        </w:tc>
        <w:tc>
          <w:tcPr>
            <w:tcW w:type="dxa" w:w="759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21"/>
              </w:rPr>
              <w:t>Gestor de Obras Comerciais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0E4194"/>
                <w:sz w:val="19"/>
              </w:rPr>
              <w:t>Athena Engenharia — Pernambuco, Brasil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Gestão e acompanhamento da execução de obras comerciais: empreiteiros, prazos, qualidade e compatibilização com o projeto.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55555"/>
                <w:sz w:val="18"/>
              </w:rPr>
              <w:t>2010 – 2014</w:t>
            </w:r>
          </w:p>
        </w:tc>
        <w:tc>
          <w:tcPr>
            <w:tcW w:type="dxa" w:w="759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21"/>
              </w:rPr>
              <w:t>Gerente de Projetos Arquitetónicos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0E4194"/>
                <w:sz w:val="19"/>
              </w:rPr>
              <w:t>URB Caruaru — Caruaru, Pernambuco, Brasil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Coordenação de projetos arquitetónicos e urbanos no setor público: prazos, equipas, documentação técnica e articulação com entidades.</w:t>
            </w:r>
          </w:p>
        </w:tc>
      </w:tr>
    </w:tbl>
    <w:p>
      <w:pPr>
        <w:spacing w:before="240" w:after="80"/>
        <w:pBdr>
          <w:bottom w:val="single" w:sz="6" w:space="1" w:color="0E4194"/>
        </w:pBdr>
      </w:pPr>
      <w:r>
        <w:rPr>
          <w:rFonts w:ascii="Arial" w:hAnsi="Arial"/>
          <w:b/>
          <w:i w:val="0"/>
          <w:color w:val="0E4194"/>
          <w:sz w:val="22"/>
        </w:rPr>
        <w:t>EDUCAÇÃO E FORMAÇÃO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226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55555"/>
                <w:sz w:val="18"/>
              </w:rPr>
              <w:t>[ano a preencher]</w:t>
            </w:r>
          </w:p>
        </w:tc>
        <w:tc>
          <w:tcPr>
            <w:tcW w:type="dxa" w:w="759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20"/>
              </w:rPr>
              <w:t>Pós-graduação em Arquitetura Comercial — Master em Retail Design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0E4194"/>
                <w:sz w:val="19"/>
              </w:rPr>
              <w:t>IPOG — Brasil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55555"/>
                <w:sz w:val="18"/>
              </w:rPr>
              <w:t>2016</w:t>
            </w:r>
          </w:p>
        </w:tc>
        <w:tc>
          <w:tcPr>
            <w:tcW w:type="dxa" w:w="759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20"/>
              </w:rPr>
              <w:t>Licenciatura (Bacharelado) em Arquitetura e Urbanismo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0E4194"/>
                <w:sz w:val="19"/>
              </w:rPr>
              <w:t>UNIFAVIP DeVry — Caruaru, Brasil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555555"/>
                <w:sz w:val="18"/>
              </w:rPr>
              <w:t>—</w:t>
            </w:r>
          </w:p>
        </w:tc>
        <w:tc>
          <w:tcPr>
            <w:tcW w:type="dxa" w:w="7597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20"/>
              </w:rPr>
              <w:t>Registo profissional: CAU-PE A166156-6 (Conselho de Arquitetura e Urbanismo do Brasil)</w:t>
            </w:r>
          </w:p>
        </w:tc>
      </w:tr>
    </w:tbl>
    <w:p>
      <w:pPr>
        <w:spacing w:before="240" w:after="80"/>
        <w:pBdr>
          <w:bottom w:val="single" w:sz="6" w:space="1" w:color="0E4194"/>
        </w:pBdr>
      </w:pPr>
      <w:r>
        <w:rPr>
          <w:rFonts w:ascii="Arial" w:hAnsi="Arial"/>
          <w:b/>
          <w:i w:val="0"/>
          <w:color w:val="0E4194"/>
          <w:sz w:val="22"/>
        </w:rPr>
        <w:t>CURSOS COMPLEMENTARES</w:t>
      </w:r>
    </w:p>
    <w:p>
      <w:pPr>
        <w:pStyle w:val="ListBullet"/>
        <w:spacing w:after="20"/>
      </w:pPr>
      <w:r>
        <w:rPr>
          <w:rFonts w:ascii="Arial" w:hAnsi="Arial"/>
          <w:b w:val="0"/>
          <w:i w:val="0"/>
          <w:sz w:val="19"/>
        </w:rPr>
        <w:t>Design Centrado no Utilizador — PUCRS (2025)</w:t>
      </w:r>
    </w:p>
    <w:p>
      <w:pPr>
        <w:pStyle w:val="ListBullet"/>
        <w:spacing w:after="20"/>
      </w:pPr>
      <w:r>
        <w:rPr>
          <w:rFonts w:ascii="Arial" w:hAnsi="Arial"/>
          <w:b w:val="0"/>
          <w:i w:val="0"/>
          <w:sz w:val="19"/>
        </w:rPr>
        <w:t>Processos de UX e UI Design — PUCRS (2025)</w:t>
      </w:r>
    </w:p>
    <w:p>
      <w:pPr>
        <w:pStyle w:val="ListBullet"/>
        <w:spacing w:after="20"/>
      </w:pPr>
      <w:r>
        <w:rPr>
          <w:rFonts w:ascii="Arial" w:hAnsi="Arial"/>
          <w:b w:val="0"/>
          <w:i w:val="0"/>
          <w:sz w:val="19"/>
        </w:rPr>
        <w:t>Foresight — Cidades Inteligentes — CESAR School (2022)</w:t>
      </w:r>
    </w:p>
    <w:p>
      <w:pPr>
        <w:pStyle w:val="ListBullet"/>
        <w:spacing w:after="20"/>
      </w:pPr>
      <w:r>
        <w:rPr>
          <w:rFonts w:ascii="Arial" w:hAnsi="Arial"/>
          <w:b w:val="0"/>
          <w:i w:val="0"/>
          <w:sz w:val="19"/>
        </w:rPr>
        <w:t>Georreferenciamento com Google Earth (2016)</w:t>
      </w:r>
    </w:p>
    <w:p>
      <w:pPr>
        <w:pStyle w:val="ListBullet"/>
        <w:spacing w:after="20"/>
      </w:pPr>
      <w:r>
        <w:rPr>
          <w:rFonts w:ascii="Arial" w:hAnsi="Arial"/>
          <w:b w:val="0"/>
          <w:i w:val="0"/>
          <w:sz w:val="19"/>
        </w:rPr>
        <w:t>Análise e Gerenciamento de Cidades — SEURB (2012)</w:t>
      </w:r>
    </w:p>
    <w:p>
      <w:pPr>
        <w:pStyle w:val="ListBullet"/>
        <w:spacing w:after="20"/>
      </w:pPr>
      <w:r>
        <w:rPr>
          <w:rFonts w:ascii="Arial" w:hAnsi="Arial"/>
          <w:b w:val="0"/>
          <w:i w:val="0"/>
          <w:sz w:val="19"/>
        </w:rPr>
        <w:t>Gestão de Projetos Arquitetónicos</w:t>
      </w:r>
    </w:p>
    <w:p>
      <w:pPr>
        <w:spacing w:before="240" w:after="80"/>
        <w:pBdr>
          <w:bottom w:val="single" w:sz="6" w:space="1" w:color="0E4194"/>
        </w:pBdr>
      </w:pPr>
      <w:r>
        <w:rPr>
          <w:rFonts w:ascii="Arial" w:hAnsi="Arial"/>
          <w:b/>
          <w:i w:val="0"/>
          <w:color w:val="0E4194"/>
          <w:sz w:val="22"/>
        </w:rPr>
        <w:t>COMPETÊNCIAS LINGUÍSTICAS</w:t>
      </w:r>
    </w:p>
    <w:p>
      <w:r>
        <w:rPr>
          <w:rFonts w:ascii="Arial" w:hAnsi="Arial"/>
          <w:b/>
          <w:i w:val="0"/>
          <w:sz w:val="20"/>
        </w:rPr>
        <w:t>Língua materna: Português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0E4194"/>
                <w:sz w:val="17"/>
              </w:rPr>
              <w:t>Língua</w:t>
            </w:r>
          </w:p>
        </w:tc>
        <w:tc>
          <w:tcPr>
            <w:tcW w:type="dxa" w:w="1700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0E4194"/>
                <w:sz w:val="17"/>
              </w:rPr>
              <w:t>Compreensão oral</w:t>
            </w:r>
          </w:p>
        </w:tc>
        <w:tc>
          <w:tcPr>
            <w:tcW w:type="dxa" w:w="1700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0E4194"/>
                <w:sz w:val="17"/>
              </w:rPr>
              <w:t>Leitura</w:t>
            </w:r>
          </w:p>
        </w:tc>
        <w:tc>
          <w:tcPr>
            <w:tcW w:type="dxa" w:w="1700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0E4194"/>
                <w:sz w:val="17"/>
              </w:rPr>
              <w:t>Interação oral</w:t>
            </w:r>
          </w:p>
        </w:tc>
        <w:tc>
          <w:tcPr>
            <w:tcW w:type="dxa" w:w="1700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0E4194"/>
                <w:sz w:val="17"/>
              </w:rPr>
              <w:t>Produção oral</w:t>
            </w:r>
          </w:p>
        </w:tc>
        <w:tc>
          <w:tcPr>
            <w:tcW w:type="dxa" w:w="1700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0E4194"/>
                <w:sz w:val="17"/>
              </w:rPr>
              <w:t>Escrita</w:t>
            </w:r>
          </w:p>
        </w:tc>
      </w:tr>
      <w:tr>
        <w:tc>
          <w:tcPr>
            <w:tcW w:type="dxa" w:w="1700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Inglês</w:t>
            </w:r>
          </w:p>
        </w:tc>
        <w:tc>
          <w:tcPr>
            <w:tcW w:type="dxa" w:w="1700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B1</w:t>
            </w:r>
          </w:p>
        </w:tc>
        <w:tc>
          <w:tcPr>
            <w:tcW w:type="dxa" w:w="1700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B1</w:t>
            </w:r>
          </w:p>
        </w:tc>
        <w:tc>
          <w:tcPr>
            <w:tcW w:type="dxa" w:w="1700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B1</w:t>
            </w:r>
          </w:p>
        </w:tc>
        <w:tc>
          <w:tcPr>
            <w:tcW w:type="dxa" w:w="1700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B1</w:t>
            </w:r>
          </w:p>
        </w:tc>
        <w:tc>
          <w:tcPr>
            <w:tcW w:type="dxa" w:w="1700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sz w:val="19"/>
              </w:rPr>
              <w:t>B1</w:t>
            </w:r>
          </w:p>
        </w:tc>
      </w:tr>
    </w:tbl>
    <w:p>
      <w:r>
        <w:rPr>
          <w:rFonts w:ascii="Arial" w:hAnsi="Arial"/>
          <w:b w:val="0"/>
          <w:i/>
          <w:color w:val="555555"/>
          <w:sz w:val="16"/>
        </w:rPr>
        <w:t>Níveis: Quadro Europeu Comum de Referência (QECR). Autoavaliação.</w:t>
      </w:r>
    </w:p>
    <w:p>
      <w:pPr>
        <w:spacing w:before="240" w:after="80"/>
        <w:pBdr>
          <w:bottom w:val="single" w:sz="6" w:space="1" w:color="0E4194"/>
        </w:pBdr>
      </w:pPr>
      <w:r>
        <w:rPr>
          <w:rFonts w:ascii="Arial" w:hAnsi="Arial"/>
          <w:b/>
          <w:i w:val="0"/>
          <w:color w:val="0E4194"/>
          <w:sz w:val="22"/>
        </w:rPr>
        <w:t>COMPETÊNCIAS DIGITAIS</w:t>
      </w:r>
    </w:p>
    <w:p>
      <w:r>
        <w:rPr>
          <w:rFonts w:ascii="Arial" w:hAnsi="Arial"/>
          <w:b w:val="0"/>
          <w:i w:val="0"/>
          <w:sz w:val="19"/>
        </w:rPr>
        <w:t>AutoCAD (avançado) · SketchUp (avançado) · Layout (SketchUp) · Photoshop · Revit (básico) · IA generativa para renderização e apresentações · Microsoft Office (a confirmar) · Claude Code / GitHub</w:t>
      </w:r>
    </w:p>
    <w:p>
      <w:pPr>
        <w:spacing w:before="240" w:after="80"/>
        <w:pBdr>
          <w:bottom w:val="single" w:sz="6" w:space="1" w:color="0E4194"/>
        </w:pBdr>
      </w:pPr>
      <w:r>
        <w:rPr>
          <w:rFonts w:ascii="Arial" w:hAnsi="Arial"/>
          <w:b/>
          <w:i w:val="0"/>
          <w:color w:val="0E4194"/>
          <w:sz w:val="22"/>
        </w:rPr>
        <w:t>OUTRAS INFORMAÇÕES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Disponibilidade para relocalização para Portugal com a família.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Pedido de reconhecimento do grau académico e inscrição na Ordem dos Arquitectos a iniciar (acordo CAU–OA).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